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b/>
          <w:sz w:val="36"/>
          <w:szCs w:val="36"/>
        </w:rPr>
      </w:pPr>
    </w:p>
    <w:p>
      <w:pPr>
        <w:jc w:val="center"/>
        <w:rPr>
          <w:rFonts w:ascii="华文楷体" w:hAnsi="华文楷体" w:eastAsia="华文楷体"/>
          <w:b/>
          <w:bCs/>
          <w:sz w:val="72"/>
          <w:szCs w:val="72"/>
        </w:rPr>
      </w:pPr>
      <w:r>
        <w:rPr>
          <w:rFonts w:hint="eastAsia" w:ascii="华文楷体" w:hAnsi="华文楷体" w:eastAsia="华文楷体"/>
          <w:b/>
          <w:bCs/>
          <w:sz w:val="72"/>
          <w:szCs w:val="72"/>
        </w:rPr>
        <w:t>美容美体专业</w:t>
      </w:r>
    </w:p>
    <w:p>
      <w:pPr>
        <w:jc w:val="center"/>
        <w:rPr>
          <w:rFonts w:ascii="华文楷体" w:hAnsi="华文楷体" w:eastAsia="华文楷体"/>
          <w:b/>
          <w:bCs/>
          <w:sz w:val="52"/>
          <w:szCs w:val="52"/>
        </w:rPr>
      </w:pPr>
      <w:r>
        <w:rPr>
          <w:rFonts w:hint="eastAsia" w:ascii="华文楷体" w:hAnsi="华文楷体" w:eastAsia="华文楷体"/>
          <w:b/>
          <w:bCs/>
          <w:sz w:val="52"/>
          <w:szCs w:val="52"/>
        </w:rPr>
        <w:t>人才培养方案</w:t>
      </w:r>
    </w:p>
    <w:p>
      <w:pPr>
        <w:jc w:val="center"/>
        <w:rPr>
          <w:rFonts w:ascii="华文楷体" w:hAnsi="华文楷体" w:eastAsia="华文楷体"/>
          <w:b/>
          <w:bCs/>
          <w:sz w:val="52"/>
          <w:szCs w:val="52"/>
        </w:rPr>
      </w:pPr>
      <w:r>
        <w:rPr>
          <w:rFonts w:hint="eastAsia" w:ascii="华文楷体" w:hAnsi="华文楷体" w:eastAsia="华文楷体"/>
          <w:b/>
          <w:bCs/>
          <w:sz w:val="52"/>
          <w:szCs w:val="52"/>
        </w:rPr>
        <w:t>（2</w:t>
      </w:r>
      <w:r>
        <w:rPr>
          <w:rFonts w:ascii="华文楷体" w:hAnsi="华文楷体" w:eastAsia="华文楷体"/>
          <w:b/>
          <w:bCs/>
          <w:sz w:val="52"/>
          <w:szCs w:val="52"/>
        </w:rPr>
        <w:t>020</w:t>
      </w:r>
      <w:r>
        <w:rPr>
          <w:rFonts w:hint="eastAsia" w:ascii="华文楷体" w:hAnsi="华文楷体" w:eastAsia="华文楷体"/>
          <w:b/>
          <w:bCs/>
          <w:sz w:val="52"/>
          <w:szCs w:val="52"/>
        </w:rPr>
        <w:t>级适用）</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pStyle w:val="8"/>
        <w:tabs>
          <w:tab w:val="center" w:pos="4153"/>
        </w:tabs>
        <w:spacing w:before="0" w:after="0" w:line="560" w:lineRule="exact"/>
        <w:rPr>
          <w:rFonts w:ascii="方正小标宋简体" w:hAnsi="方正小标宋简体" w:eastAsia="方正小标宋简体" w:cs="方正小标宋简体"/>
          <w:b w:val="0"/>
          <w:color w:val="000000" w:themeColor="text1"/>
          <w14:textFill>
            <w14:solidFill>
              <w14:schemeClr w14:val="tx1"/>
            </w14:solidFill>
          </w14:textFill>
        </w:rPr>
      </w:pPr>
    </w:p>
    <w:p>
      <w:pPr>
        <w:pStyle w:val="8"/>
        <w:tabs>
          <w:tab w:val="center" w:pos="4153"/>
        </w:tabs>
        <w:spacing w:before="0" w:after="0" w:line="560" w:lineRule="exact"/>
        <w:rPr>
          <w:rFonts w:ascii="方正小标宋简体" w:hAnsi="方正小标宋简体" w:eastAsia="方正小标宋简体" w:cs="方正小标宋简体"/>
          <w:b w:val="0"/>
          <w:color w:val="000000" w:themeColor="text1"/>
          <w14:textFill>
            <w14:solidFill>
              <w14:schemeClr w14:val="tx1"/>
            </w14:solidFill>
          </w14:textFill>
        </w:rPr>
      </w:pPr>
    </w:p>
    <w:p>
      <w:pPr>
        <w:pStyle w:val="8"/>
        <w:tabs>
          <w:tab w:val="center" w:pos="4153"/>
        </w:tabs>
        <w:spacing w:before="0" w:after="0" w:line="560" w:lineRule="exact"/>
        <w:rPr>
          <w:rFonts w:ascii="方正小标宋简体" w:hAnsi="方正小标宋简体" w:eastAsia="方正小标宋简体" w:cs="方正小标宋简体"/>
          <w:b w:val="0"/>
          <w:color w:val="000000" w:themeColor="text1"/>
          <w14:textFill>
            <w14:solidFill>
              <w14:schemeClr w14:val="tx1"/>
            </w14:solidFill>
          </w14:textFill>
        </w:rPr>
      </w:pPr>
    </w:p>
    <w:p>
      <w:pPr>
        <w:rPr>
          <w:rFonts w:ascii="华文楷体" w:hAnsi="华文楷体" w:eastAsia="华文楷体" w:cs="华文楷体"/>
          <w:bCs/>
          <w:sz w:val="28"/>
          <w:szCs w:val="28"/>
        </w:rPr>
      </w:pPr>
    </w:p>
    <w:sdt>
      <w:sdtPr>
        <w:rPr>
          <w:rFonts w:asciiTheme="minorHAnsi" w:hAnsiTheme="minorHAnsi" w:eastAsiaTheme="minorEastAsia" w:cstheme="minorBidi"/>
          <w:color w:val="auto"/>
          <w:kern w:val="2"/>
          <w:sz w:val="21"/>
          <w:szCs w:val="22"/>
          <w:lang w:val="zh-CN"/>
        </w:rPr>
        <w:id w:val="-82581516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0"/>
            <w:jc w:val="center"/>
            <w:rPr>
              <w:rFonts w:ascii="黑体" w:hAnsi="黑体" w:eastAsia="黑体"/>
              <w:b/>
              <w:color w:val="000000" w:themeColor="text1"/>
              <w:sz w:val="52"/>
              <w14:textFill>
                <w14:solidFill>
                  <w14:schemeClr w14:val="tx1"/>
                </w14:solidFill>
              </w14:textFill>
            </w:rPr>
          </w:pPr>
          <w:r>
            <w:rPr>
              <w:rFonts w:ascii="黑体" w:hAnsi="黑体" w:eastAsia="黑体"/>
              <w:b/>
              <w:color w:val="000000" w:themeColor="text1"/>
              <w:sz w:val="52"/>
              <w:lang w:val="zh-CN"/>
              <w14:textFill>
                <w14:solidFill>
                  <w14:schemeClr w14:val="tx1"/>
                </w14:solidFill>
              </w14:textFill>
            </w:rPr>
            <w:t>目录</w:t>
          </w:r>
        </w:p>
        <w:p>
          <w:pPr>
            <w:pStyle w:val="7"/>
            <w:tabs>
              <w:tab w:val="right" w:leader="dot" w:pos="9628"/>
            </w:tabs>
            <w:rPr>
              <w:rStyle w:val="12"/>
              <w:rFonts w:ascii="华文楷体" w:hAnsi="华文楷体" w:eastAsia="华文楷体"/>
              <w:sz w:val="28"/>
              <w:szCs w:val="28"/>
            </w:rPr>
          </w:pPr>
          <w:r>
            <w:fldChar w:fldCharType="begin"/>
          </w:r>
          <w:r>
            <w:instrText xml:space="preserve"> TOC \o "1-3" \h \z \u </w:instrText>
          </w:r>
          <w:r>
            <w:fldChar w:fldCharType="separate"/>
          </w:r>
          <w:r>
            <w:fldChar w:fldCharType="begin"/>
          </w:r>
          <w:r>
            <w:instrText xml:space="preserve"> HYPERLINK \l "_Toc20647085" </w:instrText>
          </w:r>
          <w:r>
            <w:fldChar w:fldCharType="separate"/>
          </w:r>
          <w:r>
            <w:fldChar w:fldCharType="end"/>
          </w:r>
        </w:p>
        <w:p>
          <w:pPr>
            <w:rPr>
              <w:rFonts w:ascii="华文楷体" w:hAnsi="华文楷体" w:eastAsia="华文楷体"/>
              <w:sz w:val="28"/>
              <w:szCs w:val="28"/>
            </w:rPr>
          </w:pPr>
        </w:p>
        <w:p>
          <w:pPr>
            <w:pStyle w:val="7"/>
            <w:tabs>
              <w:tab w:val="right" w:leader="dot" w:pos="9628"/>
            </w:tabs>
            <w:rPr>
              <w:rFonts w:ascii="华文楷体" w:hAnsi="华文楷体" w:eastAsia="华文楷体"/>
              <w:sz w:val="28"/>
              <w:szCs w:val="28"/>
            </w:rPr>
          </w:pPr>
          <w:r>
            <w:fldChar w:fldCharType="begin"/>
          </w:r>
          <w:r>
            <w:instrText xml:space="preserve"> HYPERLINK \l "_Toc20647086" </w:instrText>
          </w:r>
          <w:r>
            <w:fldChar w:fldCharType="separate"/>
          </w:r>
          <w:r>
            <w:rPr>
              <w:rStyle w:val="12"/>
              <w:rFonts w:ascii="华文楷体" w:hAnsi="华文楷体" w:eastAsia="华文楷体"/>
              <w:sz w:val="28"/>
              <w:szCs w:val="28"/>
            </w:rPr>
            <w:t>一、专业名称及代码</w:t>
          </w:r>
          <w:r>
            <w:rPr>
              <w:rFonts w:ascii="华文楷体" w:hAnsi="华文楷体" w:eastAsia="华文楷体"/>
              <w:sz w:val="28"/>
              <w:szCs w:val="28"/>
            </w:rPr>
            <w:tab/>
          </w:r>
          <w:r>
            <w:rPr>
              <w:rFonts w:ascii="华文楷体" w:hAnsi="华文楷体" w:eastAsia="华文楷体"/>
              <w:sz w:val="28"/>
              <w:szCs w:val="28"/>
            </w:rPr>
            <w:fldChar w:fldCharType="begin"/>
          </w:r>
          <w:r>
            <w:rPr>
              <w:rFonts w:ascii="华文楷体" w:hAnsi="华文楷体" w:eastAsia="华文楷体"/>
              <w:sz w:val="28"/>
              <w:szCs w:val="28"/>
            </w:rPr>
            <w:instrText xml:space="preserve"> PAGEREF _Toc20647086 \h </w:instrText>
          </w:r>
          <w:r>
            <w:rPr>
              <w:rFonts w:ascii="华文楷体" w:hAnsi="华文楷体" w:eastAsia="华文楷体"/>
              <w:sz w:val="28"/>
              <w:szCs w:val="28"/>
            </w:rPr>
            <w:fldChar w:fldCharType="separate"/>
          </w:r>
          <w:r>
            <w:rPr>
              <w:rFonts w:ascii="华文楷体" w:hAnsi="华文楷体" w:eastAsia="华文楷体"/>
              <w:sz w:val="28"/>
              <w:szCs w:val="28"/>
            </w:rPr>
            <w:t>2</w:t>
          </w:r>
          <w:r>
            <w:rPr>
              <w:rFonts w:ascii="华文楷体" w:hAnsi="华文楷体" w:eastAsia="华文楷体"/>
              <w:sz w:val="28"/>
              <w:szCs w:val="28"/>
            </w:rPr>
            <w:fldChar w:fldCharType="end"/>
          </w:r>
          <w:r>
            <w:rPr>
              <w:rFonts w:ascii="华文楷体" w:hAnsi="华文楷体" w:eastAsia="华文楷体"/>
              <w:sz w:val="28"/>
              <w:szCs w:val="28"/>
            </w:rPr>
            <w:fldChar w:fldCharType="end"/>
          </w:r>
        </w:p>
        <w:p>
          <w:pPr>
            <w:pStyle w:val="7"/>
            <w:tabs>
              <w:tab w:val="right" w:leader="dot" w:pos="9628"/>
            </w:tabs>
            <w:rPr>
              <w:rFonts w:ascii="华文楷体" w:hAnsi="华文楷体" w:eastAsia="华文楷体"/>
              <w:sz w:val="28"/>
              <w:szCs w:val="28"/>
            </w:rPr>
          </w:pPr>
          <w:r>
            <w:fldChar w:fldCharType="begin"/>
          </w:r>
          <w:r>
            <w:instrText xml:space="preserve"> HYPERLINK \l "_Toc20647087" </w:instrText>
          </w:r>
          <w:r>
            <w:fldChar w:fldCharType="separate"/>
          </w:r>
          <w:r>
            <w:rPr>
              <w:rStyle w:val="12"/>
              <w:rFonts w:ascii="华文楷体" w:hAnsi="华文楷体" w:eastAsia="华文楷体"/>
              <w:sz w:val="28"/>
              <w:szCs w:val="28"/>
            </w:rPr>
            <w:t>二、入学要求</w:t>
          </w:r>
          <w:r>
            <w:rPr>
              <w:rFonts w:ascii="华文楷体" w:hAnsi="华文楷体" w:eastAsia="华文楷体"/>
              <w:sz w:val="28"/>
              <w:szCs w:val="28"/>
            </w:rPr>
            <w:tab/>
          </w:r>
          <w:r>
            <w:rPr>
              <w:rFonts w:ascii="华文楷体" w:hAnsi="华文楷体" w:eastAsia="华文楷体"/>
              <w:sz w:val="28"/>
              <w:szCs w:val="28"/>
            </w:rPr>
            <w:fldChar w:fldCharType="begin"/>
          </w:r>
          <w:r>
            <w:rPr>
              <w:rFonts w:ascii="华文楷体" w:hAnsi="华文楷体" w:eastAsia="华文楷体"/>
              <w:sz w:val="28"/>
              <w:szCs w:val="28"/>
            </w:rPr>
            <w:instrText xml:space="preserve"> PAGEREF _Toc20647087 \h </w:instrText>
          </w:r>
          <w:r>
            <w:rPr>
              <w:rFonts w:ascii="华文楷体" w:hAnsi="华文楷体" w:eastAsia="华文楷体"/>
              <w:sz w:val="28"/>
              <w:szCs w:val="28"/>
            </w:rPr>
            <w:fldChar w:fldCharType="separate"/>
          </w:r>
          <w:r>
            <w:rPr>
              <w:rFonts w:ascii="华文楷体" w:hAnsi="华文楷体" w:eastAsia="华文楷体"/>
              <w:sz w:val="28"/>
              <w:szCs w:val="28"/>
            </w:rPr>
            <w:t>2</w:t>
          </w:r>
          <w:r>
            <w:rPr>
              <w:rFonts w:ascii="华文楷体" w:hAnsi="华文楷体" w:eastAsia="华文楷体"/>
              <w:sz w:val="28"/>
              <w:szCs w:val="28"/>
            </w:rPr>
            <w:fldChar w:fldCharType="end"/>
          </w:r>
          <w:r>
            <w:rPr>
              <w:rFonts w:ascii="华文楷体" w:hAnsi="华文楷体" w:eastAsia="华文楷体"/>
              <w:sz w:val="28"/>
              <w:szCs w:val="28"/>
            </w:rPr>
            <w:fldChar w:fldCharType="end"/>
          </w:r>
        </w:p>
        <w:p>
          <w:pPr>
            <w:pStyle w:val="7"/>
            <w:tabs>
              <w:tab w:val="right" w:leader="dot" w:pos="9628"/>
            </w:tabs>
            <w:rPr>
              <w:rFonts w:ascii="华文楷体" w:hAnsi="华文楷体" w:eastAsia="华文楷体"/>
              <w:sz w:val="28"/>
              <w:szCs w:val="28"/>
            </w:rPr>
          </w:pPr>
          <w:r>
            <w:fldChar w:fldCharType="begin"/>
          </w:r>
          <w:r>
            <w:instrText xml:space="preserve"> HYPERLINK \l "_Toc20647088" </w:instrText>
          </w:r>
          <w:r>
            <w:fldChar w:fldCharType="separate"/>
          </w:r>
          <w:r>
            <w:rPr>
              <w:rStyle w:val="12"/>
              <w:rFonts w:ascii="华文楷体" w:hAnsi="华文楷体" w:eastAsia="华文楷体"/>
              <w:sz w:val="28"/>
              <w:szCs w:val="28"/>
            </w:rPr>
            <w:t>三、修业年限</w:t>
          </w:r>
          <w:r>
            <w:rPr>
              <w:rFonts w:ascii="华文楷体" w:hAnsi="华文楷体" w:eastAsia="华文楷体"/>
              <w:sz w:val="28"/>
              <w:szCs w:val="28"/>
            </w:rPr>
            <w:tab/>
          </w:r>
          <w:r>
            <w:rPr>
              <w:rFonts w:ascii="华文楷体" w:hAnsi="华文楷体" w:eastAsia="华文楷体"/>
              <w:sz w:val="28"/>
              <w:szCs w:val="28"/>
            </w:rPr>
            <w:fldChar w:fldCharType="begin"/>
          </w:r>
          <w:r>
            <w:rPr>
              <w:rFonts w:ascii="华文楷体" w:hAnsi="华文楷体" w:eastAsia="华文楷体"/>
              <w:sz w:val="28"/>
              <w:szCs w:val="28"/>
            </w:rPr>
            <w:instrText xml:space="preserve"> PAGEREF _Toc20647088 \h </w:instrText>
          </w:r>
          <w:r>
            <w:rPr>
              <w:rFonts w:ascii="华文楷体" w:hAnsi="华文楷体" w:eastAsia="华文楷体"/>
              <w:sz w:val="28"/>
              <w:szCs w:val="28"/>
            </w:rPr>
            <w:fldChar w:fldCharType="separate"/>
          </w:r>
          <w:r>
            <w:rPr>
              <w:rFonts w:ascii="华文楷体" w:hAnsi="华文楷体" w:eastAsia="华文楷体"/>
              <w:sz w:val="28"/>
              <w:szCs w:val="28"/>
            </w:rPr>
            <w:t>2</w:t>
          </w:r>
          <w:r>
            <w:rPr>
              <w:rFonts w:ascii="华文楷体" w:hAnsi="华文楷体" w:eastAsia="华文楷体"/>
              <w:sz w:val="28"/>
              <w:szCs w:val="28"/>
            </w:rPr>
            <w:fldChar w:fldCharType="end"/>
          </w:r>
          <w:r>
            <w:rPr>
              <w:rFonts w:ascii="华文楷体" w:hAnsi="华文楷体" w:eastAsia="华文楷体"/>
              <w:sz w:val="28"/>
              <w:szCs w:val="28"/>
            </w:rPr>
            <w:fldChar w:fldCharType="end"/>
          </w:r>
        </w:p>
        <w:p>
          <w:pPr>
            <w:pStyle w:val="7"/>
            <w:tabs>
              <w:tab w:val="right" w:leader="dot" w:pos="9628"/>
            </w:tabs>
            <w:rPr>
              <w:rFonts w:ascii="华文楷体" w:hAnsi="华文楷体" w:eastAsia="华文楷体"/>
              <w:sz w:val="28"/>
              <w:szCs w:val="28"/>
            </w:rPr>
          </w:pPr>
          <w:r>
            <w:fldChar w:fldCharType="begin"/>
          </w:r>
          <w:r>
            <w:instrText xml:space="preserve"> HYPERLINK \l "_Toc20647089" </w:instrText>
          </w:r>
          <w:r>
            <w:fldChar w:fldCharType="separate"/>
          </w:r>
          <w:r>
            <w:rPr>
              <w:rStyle w:val="12"/>
              <w:rFonts w:ascii="华文楷体" w:hAnsi="华文楷体" w:eastAsia="华文楷体"/>
              <w:sz w:val="28"/>
              <w:szCs w:val="28"/>
            </w:rPr>
            <w:t>四、职业面向</w:t>
          </w:r>
          <w:r>
            <w:rPr>
              <w:rFonts w:ascii="华文楷体" w:hAnsi="华文楷体" w:eastAsia="华文楷体"/>
              <w:sz w:val="28"/>
              <w:szCs w:val="28"/>
            </w:rPr>
            <w:tab/>
          </w:r>
          <w:r>
            <w:rPr>
              <w:rFonts w:ascii="华文楷体" w:hAnsi="华文楷体" w:eastAsia="华文楷体"/>
              <w:sz w:val="28"/>
              <w:szCs w:val="28"/>
            </w:rPr>
            <w:fldChar w:fldCharType="begin"/>
          </w:r>
          <w:r>
            <w:rPr>
              <w:rFonts w:ascii="华文楷体" w:hAnsi="华文楷体" w:eastAsia="华文楷体"/>
              <w:sz w:val="28"/>
              <w:szCs w:val="28"/>
            </w:rPr>
            <w:instrText xml:space="preserve"> PAGEREF _Toc20647089 \h </w:instrText>
          </w:r>
          <w:r>
            <w:rPr>
              <w:rFonts w:ascii="华文楷体" w:hAnsi="华文楷体" w:eastAsia="华文楷体"/>
              <w:sz w:val="28"/>
              <w:szCs w:val="28"/>
            </w:rPr>
            <w:fldChar w:fldCharType="separate"/>
          </w:r>
          <w:r>
            <w:rPr>
              <w:rFonts w:ascii="华文楷体" w:hAnsi="华文楷体" w:eastAsia="华文楷体"/>
              <w:sz w:val="28"/>
              <w:szCs w:val="28"/>
            </w:rPr>
            <w:t>2</w:t>
          </w:r>
          <w:r>
            <w:rPr>
              <w:rFonts w:ascii="华文楷体" w:hAnsi="华文楷体" w:eastAsia="华文楷体"/>
              <w:sz w:val="28"/>
              <w:szCs w:val="28"/>
            </w:rPr>
            <w:fldChar w:fldCharType="end"/>
          </w:r>
          <w:r>
            <w:rPr>
              <w:rFonts w:ascii="华文楷体" w:hAnsi="华文楷体" w:eastAsia="华文楷体"/>
              <w:sz w:val="28"/>
              <w:szCs w:val="28"/>
            </w:rPr>
            <w:fldChar w:fldCharType="end"/>
          </w:r>
        </w:p>
        <w:p>
          <w:pPr>
            <w:pStyle w:val="7"/>
            <w:tabs>
              <w:tab w:val="right" w:leader="dot" w:pos="9628"/>
            </w:tabs>
            <w:rPr>
              <w:rFonts w:ascii="华文楷体" w:hAnsi="华文楷体" w:eastAsia="华文楷体"/>
              <w:sz w:val="28"/>
              <w:szCs w:val="28"/>
            </w:rPr>
          </w:pPr>
          <w:r>
            <w:fldChar w:fldCharType="begin"/>
          </w:r>
          <w:r>
            <w:instrText xml:space="preserve"> HYPERLINK \l "_Toc20647090" </w:instrText>
          </w:r>
          <w:r>
            <w:fldChar w:fldCharType="separate"/>
          </w:r>
          <w:r>
            <w:rPr>
              <w:rStyle w:val="12"/>
              <w:rFonts w:ascii="华文楷体" w:hAnsi="华文楷体" w:eastAsia="华文楷体"/>
              <w:sz w:val="28"/>
              <w:szCs w:val="28"/>
            </w:rPr>
            <w:t>五、培养目标与培养规格</w:t>
          </w:r>
          <w:r>
            <w:rPr>
              <w:rFonts w:ascii="华文楷体" w:hAnsi="华文楷体" w:eastAsia="华文楷体"/>
              <w:sz w:val="28"/>
              <w:szCs w:val="28"/>
            </w:rPr>
            <w:tab/>
          </w:r>
          <w:r>
            <w:rPr>
              <w:rFonts w:ascii="华文楷体" w:hAnsi="华文楷体" w:eastAsia="华文楷体"/>
              <w:sz w:val="28"/>
              <w:szCs w:val="28"/>
            </w:rPr>
            <w:fldChar w:fldCharType="begin"/>
          </w:r>
          <w:r>
            <w:rPr>
              <w:rFonts w:ascii="华文楷体" w:hAnsi="华文楷体" w:eastAsia="华文楷体"/>
              <w:sz w:val="28"/>
              <w:szCs w:val="28"/>
            </w:rPr>
            <w:instrText xml:space="preserve"> PAGEREF _Toc20647090 \h </w:instrText>
          </w:r>
          <w:r>
            <w:rPr>
              <w:rFonts w:ascii="华文楷体" w:hAnsi="华文楷体" w:eastAsia="华文楷体"/>
              <w:sz w:val="28"/>
              <w:szCs w:val="28"/>
            </w:rPr>
            <w:fldChar w:fldCharType="separate"/>
          </w:r>
          <w:r>
            <w:rPr>
              <w:rFonts w:ascii="华文楷体" w:hAnsi="华文楷体" w:eastAsia="华文楷体"/>
              <w:sz w:val="28"/>
              <w:szCs w:val="28"/>
            </w:rPr>
            <w:t>2</w:t>
          </w:r>
          <w:r>
            <w:rPr>
              <w:rFonts w:ascii="华文楷体" w:hAnsi="华文楷体" w:eastAsia="华文楷体"/>
              <w:sz w:val="28"/>
              <w:szCs w:val="28"/>
            </w:rPr>
            <w:fldChar w:fldCharType="end"/>
          </w:r>
          <w:r>
            <w:rPr>
              <w:rFonts w:ascii="华文楷体" w:hAnsi="华文楷体" w:eastAsia="华文楷体"/>
              <w:sz w:val="28"/>
              <w:szCs w:val="28"/>
            </w:rPr>
            <w:fldChar w:fldCharType="end"/>
          </w:r>
        </w:p>
        <w:p>
          <w:pPr>
            <w:pStyle w:val="7"/>
            <w:tabs>
              <w:tab w:val="right" w:leader="dot" w:pos="9628"/>
            </w:tabs>
            <w:rPr>
              <w:rFonts w:ascii="华文楷体" w:hAnsi="华文楷体" w:eastAsia="华文楷体"/>
              <w:sz w:val="28"/>
              <w:szCs w:val="28"/>
            </w:rPr>
          </w:pPr>
          <w:r>
            <w:fldChar w:fldCharType="begin"/>
          </w:r>
          <w:r>
            <w:instrText xml:space="preserve"> HYPERLINK \l "_Toc20647091" </w:instrText>
          </w:r>
          <w:r>
            <w:fldChar w:fldCharType="separate"/>
          </w:r>
          <w:r>
            <w:rPr>
              <w:rStyle w:val="12"/>
              <w:rFonts w:ascii="华文楷体" w:hAnsi="华文楷体" w:eastAsia="华文楷体"/>
              <w:sz w:val="28"/>
              <w:szCs w:val="28"/>
            </w:rPr>
            <w:t>六、课程设置及要求</w:t>
          </w:r>
          <w:r>
            <w:rPr>
              <w:rFonts w:ascii="华文楷体" w:hAnsi="华文楷体" w:eastAsia="华文楷体"/>
              <w:sz w:val="28"/>
              <w:szCs w:val="28"/>
            </w:rPr>
            <w:tab/>
          </w:r>
          <w:r>
            <w:rPr>
              <w:rFonts w:ascii="华文楷体" w:hAnsi="华文楷体" w:eastAsia="华文楷体"/>
              <w:sz w:val="28"/>
              <w:szCs w:val="28"/>
            </w:rPr>
            <w:fldChar w:fldCharType="begin"/>
          </w:r>
          <w:r>
            <w:rPr>
              <w:rFonts w:ascii="华文楷体" w:hAnsi="华文楷体" w:eastAsia="华文楷体"/>
              <w:sz w:val="28"/>
              <w:szCs w:val="28"/>
            </w:rPr>
            <w:instrText xml:space="preserve"> PAGEREF _Toc20647091 \h </w:instrText>
          </w:r>
          <w:r>
            <w:rPr>
              <w:rFonts w:ascii="华文楷体" w:hAnsi="华文楷体" w:eastAsia="华文楷体"/>
              <w:sz w:val="28"/>
              <w:szCs w:val="28"/>
            </w:rPr>
            <w:fldChar w:fldCharType="separate"/>
          </w:r>
          <w:r>
            <w:rPr>
              <w:rFonts w:ascii="华文楷体" w:hAnsi="华文楷体" w:eastAsia="华文楷体"/>
              <w:sz w:val="28"/>
              <w:szCs w:val="28"/>
            </w:rPr>
            <w:t>5</w:t>
          </w:r>
          <w:r>
            <w:rPr>
              <w:rFonts w:ascii="华文楷体" w:hAnsi="华文楷体" w:eastAsia="华文楷体"/>
              <w:sz w:val="28"/>
              <w:szCs w:val="28"/>
            </w:rPr>
            <w:fldChar w:fldCharType="end"/>
          </w:r>
          <w:r>
            <w:rPr>
              <w:rFonts w:ascii="华文楷体" w:hAnsi="华文楷体" w:eastAsia="华文楷体"/>
              <w:sz w:val="28"/>
              <w:szCs w:val="28"/>
            </w:rPr>
            <w:fldChar w:fldCharType="end"/>
          </w:r>
        </w:p>
        <w:p>
          <w:pPr>
            <w:pStyle w:val="7"/>
            <w:tabs>
              <w:tab w:val="right" w:leader="dot" w:pos="9628"/>
            </w:tabs>
            <w:rPr>
              <w:rFonts w:ascii="华文楷体" w:hAnsi="华文楷体" w:eastAsia="华文楷体"/>
              <w:sz w:val="28"/>
              <w:szCs w:val="28"/>
            </w:rPr>
          </w:pPr>
          <w:r>
            <w:fldChar w:fldCharType="begin"/>
          </w:r>
          <w:r>
            <w:instrText xml:space="preserve"> HYPERLINK \l "_Toc20647109" </w:instrText>
          </w:r>
          <w:r>
            <w:fldChar w:fldCharType="separate"/>
          </w:r>
          <w:r>
            <w:rPr>
              <w:rStyle w:val="12"/>
              <w:rFonts w:ascii="华文楷体" w:hAnsi="华文楷体" w:eastAsia="华文楷体"/>
              <w:sz w:val="28"/>
              <w:szCs w:val="28"/>
            </w:rPr>
            <w:t>七、教学进程总体安排</w:t>
          </w:r>
          <w:r>
            <w:rPr>
              <w:rFonts w:ascii="华文楷体" w:hAnsi="华文楷体" w:eastAsia="华文楷体"/>
              <w:sz w:val="28"/>
              <w:szCs w:val="28"/>
            </w:rPr>
            <w:tab/>
          </w:r>
          <w:r>
            <w:rPr>
              <w:rFonts w:ascii="华文楷体" w:hAnsi="华文楷体" w:eastAsia="华文楷体"/>
              <w:sz w:val="28"/>
              <w:szCs w:val="28"/>
            </w:rPr>
            <w:fldChar w:fldCharType="begin"/>
          </w:r>
          <w:r>
            <w:rPr>
              <w:rFonts w:ascii="华文楷体" w:hAnsi="华文楷体" w:eastAsia="华文楷体"/>
              <w:sz w:val="28"/>
              <w:szCs w:val="28"/>
            </w:rPr>
            <w:instrText xml:space="preserve"> PAGEREF _Toc20647109 \h </w:instrText>
          </w:r>
          <w:r>
            <w:rPr>
              <w:rFonts w:ascii="华文楷体" w:hAnsi="华文楷体" w:eastAsia="华文楷体"/>
              <w:sz w:val="28"/>
              <w:szCs w:val="28"/>
            </w:rPr>
            <w:fldChar w:fldCharType="separate"/>
          </w:r>
          <w:r>
            <w:rPr>
              <w:rFonts w:ascii="华文楷体" w:hAnsi="华文楷体" w:eastAsia="华文楷体"/>
              <w:sz w:val="28"/>
              <w:szCs w:val="28"/>
            </w:rPr>
            <w:t>13</w:t>
          </w:r>
          <w:r>
            <w:rPr>
              <w:rFonts w:ascii="华文楷体" w:hAnsi="华文楷体" w:eastAsia="华文楷体"/>
              <w:sz w:val="28"/>
              <w:szCs w:val="28"/>
            </w:rPr>
            <w:fldChar w:fldCharType="end"/>
          </w:r>
          <w:r>
            <w:rPr>
              <w:rFonts w:ascii="华文楷体" w:hAnsi="华文楷体" w:eastAsia="华文楷体"/>
              <w:sz w:val="28"/>
              <w:szCs w:val="28"/>
            </w:rPr>
            <w:fldChar w:fldCharType="end"/>
          </w:r>
        </w:p>
        <w:p>
          <w:pPr>
            <w:pStyle w:val="7"/>
            <w:tabs>
              <w:tab w:val="right" w:leader="dot" w:pos="9628"/>
            </w:tabs>
            <w:rPr>
              <w:rFonts w:ascii="华文楷体" w:hAnsi="华文楷体" w:eastAsia="华文楷体"/>
              <w:sz w:val="28"/>
              <w:szCs w:val="28"/>
            </w:rPr>
          </w:pPr>
          <w:r>
            <w:fldChar w:fldCharType="begin"/>
          </w:r>
          <w:r>
            <w:instrText xml:space="preserve"> HYPERLINK \l "_Toc20647110" </w:instrText>
          </w:r>
          <w:r>
            <w:fldChar w:fldCharType="separate"/>
          </w:r>
          <w:r>
            <w:rPr>
              <w:rStyle w:val="12"/>
              <w:rFonts w:ascii="华文楷体" w:hAnsi="华文楷体" w:eastAsia="华文楷体"/>
              <w:sz w:val="28"/>
              <w:szCs w:val="28"/>
            </w:rPr>
            <w:t>八、实施保障</w:t>
          </w:r>
          <w:r>
            <w:rPr>
              <w:rFonts w:ascii="华文楷体" w:hAnsi="华文楷体" w:eastAsia="华文楷体"/>
              <w:sz w:val="28"/>
              <w:szCs w:val="28"/>
            </w:rPr>
            <w:tab/>
          </w:r>
          <w:r>
            <w:rPr>
              <w:rFonts w:ascii="华文楷体" w:hAnsi="华文楷体" w:eastAsia="华文楷体"/>
              <w:sz w:val="28"/>
              <w:szCs w:val="28"/>
            </w:rPr>
            <w:fldChar w:fldCharType="begin"/>
          </w:r>
          <w:r>
            <w:rPr>
              <w:rFonts w:ascii="华文楷体" w:hAnsi="华文楷体" w:eastAsia="华文楷体"/>
              <w:sz w:val="28"/>
              <w:szCs w:val="28"/>
            </w:rPr>
            <w:instrText xml:space="preserve"> PAGEREF _Toc20647110 \h </w:instrText>
          </w:r>
          <w:r>
            <w:rPr>
              <w:rFonts w:ascii="华文楷体" w:hAnsi="华文楷体" w:eastAsia="华文楷体"/>
              <w:sz w:val="28"/>
              <w:szCs w:val="28"/>
            </w:rPr>
            <w:fldChar w:fldCharType="separate"/>
          </w:r>
          <w:r>
            <w:rPr>
              <w:rFonts w:ascii="华文楷体" w:hAnsi="华文楷体" w:eastAsia="华文楷体"/>
              <w:sz w:val="28"/>
              <w:szCs w:val="28"/>
            </w:rPr>
            <w:t>15</w:t>
          </w:r>
          <w:r>
            <w:rPr>
              <w:rFonts w:ascii="华文楷体" w:hAnsi="华文楷体" w:eastAsia="华文楷体"/>
              <w:sz w:val="28"/>
              <w:szCs w:val="28"/>
            </w:rPr>
            <w:fldChar w:fldCharType="end"/>
          </w:r>
          <w:r>
            <w:rPr>
              <w:rFonts w:ascii="华文楷体" w:hAnsi="华文楷体" w:eastAsia="华文楷体"/>
              <w:sz w:val="28"/>
              <w:szCs w:val="28"/>
            </w:rPr>
            <w:fldChar w:fldCharType="end"/>
          </w:r>
        </w:p>
        <w:p>
          <w:pPr>
            <w:pStyle w:val="7"/>
            <w:tabs>
              <w:tab w:val="right" w:leader="dot" w:pos="9628"/>
            </w:tabs>
          </w:pPr>
          <w:r>
            <w:fldChar w:fldCharType="begin"/>
          </w:r>
          <w:r>
            <w:instrText xml:space="preserve"> HYPERLINK \l "_Toc20647111" </w:instrText>
          </w:r>
          <w:r>
            <w:fldChar w:fldCharType="separate"/>
          </w:r>
          <w:r>
            <w:rPr>
              <w:rStyle w:val="12"/>
              <w:rFonts w:ascii="华文楷体" w:hAnsi="华文楷体" w:eastAsia="华文楷体"/>
              <w:sz w:val="28"/>
              <w:szCs w:val="28"/>
            </w:rPr>
            <w:t>九、毕业要求</w:t>
          </w:r>
          <w:r>
            <w:rPr>
              <w:rFonts w:ascii="华文楷体" w:hAnsi="华文楷体" w:eastAsia="华文楷体"/>
              <w:sz w:val="28"/>
              <w:szCs w:val="28"/>
            </w:rPr>
            <w:tab/>
          </w:r>
          <w:r>
            <w:rPr>
              <w:rFonts w:ascii="华文楷体" w:hAnsi="华文楷体" w:eastAsia="华文楷体"/>
              <w:sz w:val="28"/>
              <w:szCs w:val="28"/>
            </w:rPr>
            <w:fldChar w:fldCharType="begin"/>
          </w:r>
          <w:r>
            <w:rPr>
              <w:rFonts w:ascii="华文楷体" w:hAnsi="华文楷体" w:eastAsia="华文楷体"/>
              <w:sz w:val="28"/>
              <w:szCs w:val="28"/>
            </w:rPr>
            <w:instrText xml:space="preserve"> PAGEREF _Toc20647111 \h </w:instrText>
          </w:r>
          <w:r>
            <w:rPr>
              <w:rFonts w:ascii="华文楷体" w:hAnsi="华文楷体" w:eastAsia="华文楷体"/>
              <w:sz w:val="28"/>
              <w:szCs w:val="28"/>
            </w:rPr>
            <w:fldChar w:fldCharType="separate"/>
          </w:r>
          <w:r>
            <w:rPr>
              <w:rFonts w:ascii="华文楷体" w:hAnsi="华文楷体" w:eastAsia="华文楷体"/>
              <w:sz w:val="28"/>
              <w:szCs w:val="28"/>
            </w:rPr>
            <w:t>18</w:t>
          </w:r>
          <w:r>
            <w:rPr>
              <w:rFonts w:ascii="华文楷体" w:hAnsi="华文楷体" w:eastAsia="华文楷体"/>
              <w:sz w:val="28"/>
              <w:szCs w:val="28"/>
            </w:rPr>
            <w:fldChar w:fldCharType="end"/>
          </w:r>
          <w:r>
            <w:rPr>
              <w:rFonts w:ascii="华文楷体" w:hAnsi="华文楷体" w:eastAsia="华文楷体"/>
              <w:sz w:val="28"/>
              <w:szCs w:val="28"/>
            </w:rPr>
            <w:fldChar w:fldCharType="end"/>
          </w:r>
        </w:p>
        <w:p>
          <w:r>
            <w:rPr>
              <w:b/>
              <w:bCs/>
              <w:lang w:val="zh-CN"/>
            </w:rPr>
            <w:fldChar w:fldCharType="end"/>
          </w:r>
        </w:p>
      </w:sdtContent>
    </w:sdt>
    <w:p>
      <w:pPr>
        <w:widowControl/>
        <w:jc w:val="left"/>
        <w:rPr>
          <w:rFonts w:ascii="华文楷体" w:hAnsi="华文楷体" w:eastAsia="华文楷体" w:cs="华文楷体"/>
          <w:bCs/>
          <w:color w:val="000000" w:themeColor="text1"/>
          <w:sz w:val="28"/>
          <w:szCs w:val="28"/>
          <w14:textFill>
            <w14:solidFill>
              <w14:schemeClr w14:val="tx1"/>
            </w14:solidFill>
          </w14:textFill>
        </w:rPr>
      </w:pPr>
      <w:r>
        <w:rPr>
          <w:rFonts w:ascii="华文楷体" w:hAnsi="华文楷体" w:eastAsia="华文楷体" w:cs="华文楷体"/>
          <w:bCs/>
          <w:color w:val="000000" w:themeColor="text1"/>
          <w:sz w:val="28"/>
          <w:szCs w:val="28"/>
          <w14:textFill>
            <w14:solidFill>
              <w14:schemeClr w14:val="tx1"/>
            </w14:solidFill>
          </w14:textFill>
        </w:rPr>
        <w:br w:type="page"/>
      </w:r>
    </w:p>
    <w:p>
      <w:pPr>
        <w:pStyle w:val="15"/>
        <w:numPr>
          <w:ilvl w:val="0"/>
          <w:numId w:val="1"/>
        </w:numPr>
        <w:ind w:firstLineChars="0"/>
        <w:rPr>
          <w:b/>
          <w:sz w:val="28"/>
          <w:szCs w:val="28"/>
        </w:rPr>
      </w:pPr>
      <w:r>
        <w:rPr>
          <w:rFonts w:hint="eastAsia"/>
          <w:b/>
          <w:sz w:val="28"/>
          <w:szCs w:val="28"/>
        </w:rPr>
        <w:t>专业名称（专业代码）</w:t>
      </w:r>
    </w:p>
    <w:p>
      <w:pPr>
        <w:rPr>
          <w:sz w:val="28"/>
          <w:szCs w:val="28"/>
        </w:rPr>
      </w:pPr>
      <w:r>
        <w:rPr>
          <w:rFonts w:hint="eastAsia"/>
          <w:sz w:val="28"/>
          <w:szCs w:val="28"/>
        </w:rPr>
        <w:t>美容美体（110100）</w:t>
      </w:r>
    </w:p>
    <w:p>
      <w:pPr>
        <w:pStyle w:val="15"/>
        <w:numPr>
          <w:ilvl w:val="0"/>
          <w:numId w:val="2"/>
        </w:numPr>
        <w:ind w:firstLineChars="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入学要求</w:t>
      </w:r>
    </w:p>
    <w:p>
      <w:pPr>
        <w:rPr>
          <w:sz w:val="28"/>
          <w:szCs w:val="28"/>
        </w:rPr>
      </w:pPr>
      <w:r>
        <w:rPr>
          <w:rFonts w:hint="eastAsia"/>
          <w:sz w:val="28"/>
          <w:szCs w:val="28"/>
        </w:rPr>
        <w:t>初中毕业或具有同等学历</w:t>
      </w:r>
    </w:p>
    <w:p>
      <w:pPr>
        <w:pStyle w:val="15"/>
        <w:numPr>
          <w:ilvl w:val="0"/>
          <w:numId w:val="2"/>
        </w:numPr>
        <w:ind w:firstLineChars="0"/>
        <w:rPr>
          <w:b/>
          <w:sz w:val="28"/>
          <w:szCs w:val="28"/>
        </w:rPr>
      </w:pPr>
      <w:r>
        <w:rPr>
          <w:rFonts w:hint="eastAsia"/>
          <w:b/>
          <w:sz w:val="28"/>
          <w:szCs w:val="28"/>
        </w:rPr>
        <w:t>修业年限</w:t>
      </w:r>
    </w:p>
    <w:p>
      <w:pPr>
        <w:pStyle w:val="15"/>
        <w:spacing w:line="360" w:lineRule="auto"/>
        <w:ind w:left="420" w:firstLine="0" w:firstLineChars="0"/>
        <w:rPr>
          <w:rFonts w:ascii="仿宋" w:hAnsi="仿宋" w:eastAsia="仿宋" w:cs="仿宋"/>
          <w:sz w:val="24"/>
        </w:rPr>
      </w:pPr>
      <w:r>
        <w:rPr>
          <w:rFonts w:hint="eastAsia" w:ascii="仿宋" w:hAnsi="仿宋" w:eastAsia="仿宋" w:cs="宋体"/>
          <w:sz w:val="24"/>
          <w:szCs w:val="24"/>
        </w:rPr>
        <w:t>（一）修业年限：</w:t>
      </w:r>
      <w:r>
        <w:rPr>
          <w:rFonts w:hint="eastAsia" w:ascii="仿宋" w:hAnsi="仿宋" w:eastAsia="仿宋"/>
          <w:bCs/>
          <w:sz w:val="24"/>
        </w:rPr>
        <w:t>修业年限以</w:t>
      </w:r>
      <w:r>
        <w:rPr>
          <w:rFonts w:ascii="仿宋" w:hAnsi="仿宋" w:eastAsia="仿宋" w:cs="仿宋"/>
          <w:sz w:val="24"/>
        </w:rPr>
        <w:t>3</w:t>
      </w:r>
      <w:r>
        <w:rPr>
          <w:rFonts w:hint="eastAsia" w:ascii="仿宋" w:hAnsi="仿宋" w:eastAsia="仿宋" w:cs="仿宋"/>
          <w:sz w:val="24"/>
        </w:rPr>
        <w:t>年为主，实行弹性学制，</w:t>
      </w:r>
      <w:r>
        <w:rPr>
          <w:rFonts w:ascii="仿宋" w:hAnsi="仿宋" w:eastAsia="仿宋" w:cs="仿宋"/>
          <w:sz w:val="24"/>
        </w:rPr>
        <w:t>最长5</w:t>
      </w:r>
      <w:r>
        <w:rPr>
          <w:rFonts w:hint="eastAsia" w:ascii="仿宋" w:hAnsi="仿宋" w:eastAsia="仿宋" w:cs="仿宋"/>
          <w:sz w:val="24"/>
        </w:rPr>
        <w:t>年。</w:t>
      </w:r>
    </w:p>
    <w:p>
      <w:pPr>
        <w:pStyle w:val="15"/>
        <w:spacing w:line="360" w:lineRule="auto"/>
        <w:ind w:left="420" w:firstLine="0" w:firstLineChars="0"/>
        <w:rPr>
          <w:rFonts w:ascii="仿宋" w:hAnsi="仿宋" w:eastAsia="仿宋" w:cs="宋体"/>
          <w:sz w:val="24"/>
          <w:szCs w:val="24"/>
        </w:rPr>
      </w:pPr>
      <w:r>
        <w:rPr>
          <w:rFonts w:hint="eastAsia" w:ascii="仿宋" w:hAnsi="仿宋" w:eastAsia="仿宋" w:cs="宋体"/>
          <w:sz w:val="24"/>
          <w:szCs w:val="24"/>
        </w:rPr>
        <w:t>（二）学历：全日制中等职业学校</w:t>
      </w:r>
    </w:p>
    <w:p>
      <w:pPr>
        <w:pStyle w:val="15"/>
        <w:numPr>
          <w:ilvl w:val="0"/>
          <w:numId w:val="2"/>
        </w:numPr>
        <w:ind w:firstLineChars="0"/>
        <w:rPr>
          <w:b/>
          <w:sz w:val="28"/>
          <w:szCs w:val="28"/>
        </w:rPr>
      </w:pPr>
      <w:r>
        <w:rPr>
          <w:rFonts w:hint="eastAsia"/>
          <w:b/>
          <w:sz w:val="28"/>
          <w:szCs w:val="28"/>
        </w:rPr>
        <w:t>职业面向</w:t>
      </w:r>
    </w:p>
    <w:tbl>
      <w:tblPr>
        <w:tblStyle w:val="10"/>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693"/>
        <w:gridCol w:w="2739"/>
        <w:gridCol w:w="23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sz w:val="28"/>
                <w:szCs w:val="28"/>
              </w:rPr>
            </w:pPr>
            <w:r>
              <w:rPr>
                <w:rFonts w:hint="eastAsia"/>
                <w:sz w:val="28"/>
                <w:szCs w:val="28"/>
              </w:rPr>
              <w:t>序号</w:t>
            </w:r>
          </w:p>
        </w:tc>
        <w:tc>
          <w:tcPr>
            <w:tcW w:w="2693" w:type="dxa"/>
          </w:tcPr>
          <w:p>
            <w:pPr>
              <w:rPr>
                <w:sz w:val="28"/>
                <w:szCs w:val="28"/>
              </w:rPr>
            </w:pPr>
            <w:r>
              <w:rPr>
                <w:rFonts w:hint="eastAsia"/>
                <w:sz w:val="28"/>
                <w:szCs w:val="28"/>
              </w:rPr>
              <w:t>对应职业（岗位）</w:t>
            </w:r>
          </w:p>
        </w:tc>
        <w:tc>
          <w:tcPr>
            <w:tcW w:w="2739" w:type="dxa"/>
          </w:tcPr>
          <w:p>
            <w:pPr>
              <w:rPr>
                <w:sz w:val="28"/>
                <w:szCs w:val="28"/>
              </w:rPr>
            </w:pPr>
            <w:r>
              <w:rPr>
                <w:rFonts w:hint="eastAsia"/>
                <w:sz w:val="28"/>
                <w:szCs w:val="28"/>
              </w:rPr>
              <w:t>职业资格证书举例</w:t>
            </w:r>
          </w:p>
        </w:tc>
        <w:tc>
          <w:tcPr>
            <w:tcW w:w="2364" w:type="dxa"/>
          </w:tcPr>
          <w:p>
            <w:pPr>
              <w:rPr>
                <w:sz w:val="28"/>
                <w:szCs w:val="28"/>
              </w:rPr>
            </w:pPr>
            <w:r>
              <w:rPr>
                <w:rFonts w:hint="eastAsia"/>
                <w:sz w:val="28"/>
                <w:szCs w:val="28"/>
              </w:rPr>
              <w:t>专业（技能）方向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sz w:val="28"/>
                <w:szCs w:val="28"/>
              </w:rPr>
            </w:pPr>
            <w:r>
              <w:rPr>
                <w:rFonts w:hint="eastAsia"/>
                <w:sz w:val="28"/>
                <w:szCs w:val="28"/>
              </w:rPr>
              <w:t>1</w:t>
            </w:r>
          </w:p>
        </w:tc>
        <w:tc>
          <w:tcPr>
            <w:tcW w:w="2693" w:type="dxa"/>
          </w:tcPr>
          <w:p>
            <w:pPr>
              <w:jc w:val="center"/>
              <w:rPr>
                <w:sz w:val="28"/>
                <w:szCs w:val="28"/>
              </w:rPr>
            </w:pPr>
            <w:r>
              <w:rPr>
                <w:rFonts w:hint="eastAsia"/>
                <w:sz w:val="28"/>
                <w:szCs w:val="28"/>
              </w:rPr>
              <w:t>美容师</w:t>
            </w:r>
          </w:p>
        </w:tc>
        <w:tc>
          <w:tcPr>
            <w:tcW w:w="2739" w:type="dxa"/>
          </w:tcPr>
          <w:p>
            <w:pPr>
              <w:jc w:val="center"/>
              <w:rPr>
                <w:sz w:val="28"/>
                <w:szCs w:val="28"/>
              </w:rPr>
            </w:pPr>
            <w:r>
              <w:rPr>
                <w:rFonts w:hint="eastAsia"/>
                <w:sz w:val="28"/>
                <w:szCs w:val="28"/>
              </w:rPr>
              <w:t>美容师（四级）</w:t>
            </w:r>
          </w:p>
        </w:tc>
        <w:tc>
          <w:tcPr>
            <w:tcW w:w="2364" w:type="dxa"/>
          </w:tcPr>
          <w:p>
            <w:pPr>
              <w:jc w:val="center"/>
              <w:rPr>
                <w:sz w:val="28"/>
                <w:szCs w:val="28"/>
              </w:rPr>
            </w:pPr>
            <w:r>
              <w:rPr>
                <w:rFonts w:hint="eastAsia"/>
                <w:sz w:val="28"/>
                <w:szCs w:val="28"/>
              </w:rPr>
              <w:t>美容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sz w:val="28"/>
                <w:szCs w:val="28"/>
              </w:rPr>
            </w:pPr>
            <w:r>
              <w:rPr>
                <w:rFonts w:hint="eastAsia"/>
                <w:sz w:val="28"/>
                <w:szCs w:val="28"/>
              </w:rPr>
              <w:t>2</w:t>
            </w:r>
          </w:p>
        </w:tc>
        <w:tc>
          <w:tcPr>
            <w:tcW w:w="2693" w:type="dxa"/>
          </w:tcPr>
          <w:p>
            <w:pPr>
              <w:jc w:val="center"/>
              <w:rPr>
                <w:sz w:val="28"/>
                <w:szCs w:val="28"/>
              </w:rPr>
            </w:pPr>
            <w:r>
              <w:rPr>
                <w:rFonts w:hint="eastAsia"/>
                <w:sz w:val="28"/>
                <w:szCs w:val="28"/>
              </w:rPr>
              <w:t>化妆师</w:t>
            </w:r>
          </w:p>
        </w:tc>
        <w:tc>
          <w:tcPr>
            <w:tcW w:w="2739" w:type="dxa"/>
          </w:tcPr>
          <w:p>
            <w:pPr>
              <w:jc w:val="center"/>
              <w:rPr>
                <w:sz w:val="28"/>
                <w:szCs w:val="28"/>
              </w:rPr>
            </w:pPr>
            <w:r>
              <w:rPr>
                <w:rFonts w:hint="eastAsia"/>
                <w:sz w:val="28"/>
                <w:szCs w:val="28"/>
              </w:rPr>
              <w:t>化妆师（四级）</w:t>
            </w:r>
          </w:p>
        </w:tc>
        <w:tc>
          <w:tcPr>
            <w:tcW w:w="2364" w:type="dxa"/>
          </w:tcPr>
          <w:p>
            <w:pPr>
              <w:jc w:val="center"/>
              <w:rPr>
                <w:sz w:val="28"/>
                <w:szCs w:val="28"/>
              </w:rPr>
            </w:pPr>
            <w:r>
              <w:rPr>
                <w:rFonts w:hint="eastAsia"/>
                <w:sz w:val="28"/>
                <w:szCs w:val="28"/>
              </w:rPr>
              <w:t>美容、美甲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sz w:val="28"/>
                <w:szCs w:val="28"/>
              </w:rPr>
            </w:pPr>
            <w:r>
              <w:rPr>
                <w:rFonts w:hint="eastAsia"/>
                <w:sz w:val="28"/>
                <w:szCs w:val="28"/>
              </w:rPr>
              <w:t>3</w:t>
            </w:r>
          </w:p>
        </w:tc>
        <w:tc>
          <w:tcPr>
            <w:tcW w:w="2693" w:type="dxa"/>
          </w:tcPr>
          <w:p>
            <w:pPr>
              <w:jc w:val="center"/>
              <w:rPr>
                <w:sz w:val="28"/>
                <w:szCs w:val="28"/>
              </w:rPr>
            </w:pPr>
            <w:r>
              <w:rPr>
                <w:rFonts w:hint="eastAsia"/>
                <w:sz w:val="28"/>
                <w:szCs w:val="28"/>
              </w:rPr>
              <w:t>美体师</w:t>
            </w:r>
          </w:p>
        </w:tc>
        <w:tc>
          <w:tcPr>
            <w:tcW w:w="2739" w:type="dxa"/>
          </w:tcPr>
          <w:p>
            <w:pPr>
              <w:jc w:val="center"/>
              <w:rPr>
                <w:sz w:val="28"/>
                <w:szCs w:val="28"/>
              </w:rPr>
            </w:pPr>
            <w:r>
              <w:rPr>
                <w:rFonts w:hint="eastAsia"/>
                <w:sz w:val="28"/>
                <w:szCs w:val="28"/>
              </w:rPr>
              <w:t>芳香保健师（四级）</w:t>
            </w:r>
          </w:p>
        </w:tc>
        <w:tc>
          <w:tcPr>
            <w:tcW w:w="2364" w:type="dxa"/>
          </w:tcPr>
          <w:p>
            <w:pPr>
              <w:jc w:val="center"/>
              <w:rPr>
                <w:sz w:val="28"/>
                <w:szCs w:val="28"/>
              </w:rPr>
            </w:pPr>
            <w:r>
              <w:rPr>
                <w:rFonts w:hint="eastAsia"/>
                <w:sz w:val="28"/>
                <w:szCs w:val="28"/>
              </w:rPr>
              <w:t>美体、水疗香薰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FFFF00"/>
          </w:tcPr>
          <w:p>
            <w:pPr>
              <w:jc w:val="center"/>
              <w:rPr>
                <w:sz w:val="28"/>
                <w:szCs w:val="28"/>
              </w:rPr>
            </w:pPr>
            <w:r>
              <w:rPr>
                <w:rFonts w:hint="eastAsia"/>
                <w:sz w:val="28"/>
                <w:szCs w:val="28"/>
              </w:rPr>
              <w:t>4</w:t>
            </w:r>
          </w:p>
        </w:tc>
        <w:tc>
          <w:tcPr>
            <w:tcW w:w="2693" w:type="dxa"/>
            <w:shd w:val="clear" w:color="auto" w:fill="FFFF00"/>
          </w:tcPr>
          <w:p>
            <w:pPr>
              <w:jc w:val="center"/>
              <w:rPr>
                <w:sz w:val="28"/>
                <w:szCs w:val="28"/>
              </w:rPr>
            </w:pPr>
            <w:r>
              <w:rPr>
                <w:rFonts w:hint="eastAsia"/>
                <w:sz w:val="28"/>
                <w:szCs w:val="28"/>
              </w:rPr>
              <w:t>美甲师</w:t>
            </w:r>
          </w:p>
        </w:tc>
        <w:tc>
          <w:tcPr>
            <w:tcW w:w="2739" w:type="dxa"/>
            <w:shd w:val="clear" w:color="auto" w:fill="FFFF00"/>
          </w:tcPr>
          <w:p>
            <w:pPr>
              <w:jc w:val="center"/>
              <w:rPr>
                <w:sz w:val="28"/>
                <w:szCs w:val="28"/>
              </w:rPr>
            </w:pPr>
            <w:r>
              <w:rPr>
                <w:rFonts w:hint="eastAsia"/>
                <w:sz w:val="28"/>
                <w:szCs w:val="28"/>
              </w:rPr>
              <w:t>美甲师（四级）</w:t>
            </w:r>
          </w:p>
        </w:tc>
        <w:tc>
          <w:tcPr>
            <w:tcW w:w="2364" w:type="dxa"/>
            <w:shd w:val="clear" w:color="auto" w:fill="FFFF00"/>
          </w:tcPr>
          <w:p>
            <w:pPr>
              <w:jc w:val="center"/>
              <w:rPr>
                <w:sz w:val="28"/>
                <w:szCs w:val="28"/>
              </w:rPr>
            </w:pPr>
            <w:r>
              <w:rPr>
                <w:rFonts w:hint="eastAsia"/>
                <w:sz w:val="28"/>
                <w:szCs w:val="28"/>
              </w:rPr>
              <w:t>美甲</w:t>
            </w:r>
          </w:p>
        </w:tc>
      </w:tr>
    </w:tbl>
    <w:p>
      <w:pPr>
        <w:ind w:left="840" w:hanging="840" w:hangingChars="300"/>
        <w:rPr>
          <w:sz w:val="28"/>
          <w:szCs w:val="28"/>
        </w:rPr>
      </w:pPr>
      <w:r>
        <w:rPr>
          <w:rFonts w:hint="eastAsia"/>
          <w:sz w:val="28"/>
          <w:szCs w:val="28"/>
        </w:rPr>
        <w:t>说明：学生毕业必须取得美容师和化妆师职业资格证书，其它证书可选考，不作为必考科目。</w:t>
      </w:r>
    </w:p>
    <w:p>
      <w:pPr>
        <w:spacing w:line="360" w:lineRule="auto"/>
        <w:jc w:val="center"/>
        <w:rPr>
          <w:rFonts w:ascii="黑体" w:hAnsi="黑体" w:eastAsia="黑体" w:cs="微软雅黑"/>
          <w:b/>
          <w:bCs/>
          <w:sz w:val="28"/>
          <w:szCs w:val="28"/>
        </w:rPr>
      </w:pPr>
      <w:r>
        <w:rPr>
          <w:rFonts w:hint="eastAsia" w:ascii="黑体" w:hAnsi="黑体" w:eastAsia="黑体" w:cs="微软雅黑"/>
          <w:b/>
          <w:bCs/>
          <w:sz w:val="28"/>
          <w:szCs w:val="28"/>
        </w:rPr>
        <w:t>专业</w:t>
      </w:r>
      <w:r>
        <w:rPr>
          <w:rFonts w:ascii="黑体" w:hAnsi="黑体" w:eastAsia="黑体" w:cs="微软雅黑"/>
          <w:b/>
          <w:bCs/>
          <w:sz w:val="28"/>
          <w:szCs w:val="28"/>
        </w:rPr>
        <w:t>岗位能力分析表</w:t>
      </w: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00"/>
        <w:gridCol w:w="692"/>
        <w:gridCol w:w="727"/>
        <w:gridCol w:w="2204"/>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536" w:type="dxa"/>
            <w:vMerge w:val="restart"/>
            <w:vAlign w:val="center"/>
          </w:tcPr>
          <w:p>
            <w:pPr>
              <w:spacing w:line="300" w:lineRule="exact"/>
              <w:jc w:val="center"/>
              <w:rPr>
                <w:rFonts w:ascii="仿宋" w:hAnsi="仿宋" w:eastAsia="仿宋"/>
                <w:b/>
                <w:szCs w:val="21"/>
              </w:rPr>
            </w:pPr>
            <w:r>
              <w:rPr>
                <w:rFonts w:ascii="仿宋" w:hAnsi="仿宋" w:eastAsia="仿宋"/>
                <w:b/>
                <w:szCs w:val="21"/>
              </w:rPr>
              <w:t>序号</w:t>
            </w:r>
          </w:p>
        </w:tc>
        <w:tc>
          <w:tcPr>
            <w:tcW w:w="1200" w:type="dxa"/>
            <w:vMerge w:val="restart"/>
            <w:vAlign w:val="center"/>
          </w:tcPr>
          <w:p>
            <w:pPr>
              <w:spacing w:line="300" w:lineRule="exact"/>
              <w:jc w:val="center"/>
              <w:rPr>
                <w:rFonts w:ascii="仿宋" w:hAnsi="仿宋" w:eastAsia="仿宋"/>
                <w:b/>
                <w:szCs w:val="21"/>
              </w:rPr>
            </w:pPr>
            <w:r>
              <w:rPr>
                <w:rFonts w:ascii="仿宋" w:hAnsi="仿宋" w:eastAsia="仿宋"/>
                <w:b/>
                <w:szCs w:val="21"/>
              </w:rPr>
              <w:t>岗位名称</w:t>
            </w:r>
          </w:p>
        </w:tc>
        <w:tc>
          <w:tcPr>
            <w:tcW w:w="1419" w:type="dxa"/>
            <w:gridSpan w:val="2"/>
            <w:vAlign w:val="center"/>
          </w:tcPr>
          <w:p>
            <w:pPr>
              <w:spacing w:line="300" w:lineRule="exact"/>
              <w:jc w:val="center"/>
              <w:rPr>
                <w:rFonts w:ascii="仿宋" w:hAnsi="仿宋" w:eastAsia="仿宋"/>
                <w:b/>
                <w:szCs w:val="21"/>
              </w:rPr>
            </w:pPr>
            <w:r>
              <w:rPr>
                <w:rFonts w:ascii="仿宋" w:hAnsi="仿宋" w:eastAsia="仿宋"/>
                <w:b/>
                <w:szCs w:val="21"/>
              </w:rPr>
              <w:t>岗位类别</w:t>
            </w:r>
          </w:p>
        </w:tc>
        <w:tc>
          <w:tcPr>
            <w:tcW w:w="2204" w:type="dxa"/>
            <w:vMerge w:val="restart"/>
            <w:vAlign w:val="center"/>
          </w:tcPr>
          <w:p>
            <w:pPr>
              <w:spacing w:line="300" w:lineRule="exact"/>
              <w:jc w:val="center"/>
              <w:rPr>
                <w:rFonts w:ascii="仿宋" w:hAnsi="仿宋" w:eastAsia="仿宋"/>
                <w:b/>
                <w:szCs w:val="21"/>
              </w:rPr>
            </w:pPr>
            <w:r>
              <w:rPr>
                <w:rFonts w:ascii="仿宋" w:hAnsi="仿宋" w:eastAsia="仿宋"/>
                <w:b/>
                <w:szCs w:val="21"/>
              </w:rPr>
              <w:t>岗位</w:t>
            </w:r>
            <w:r>
              <w:rPr>
                <w:rFonts w:hint="eastAsia" w:ascii="仿宋" w:hAnsi="仿宋" w:eastAsia="仿宋"/>
                <w:b/>
                <w:szCs w:val="21"/>
              </w:rPr>
              <w:t>描述</w:t>
            </w:r>
          </w:p>
        </w:tc>
        <w:tc>
          <w:tcPr>
            <w:tcW w:w="3147" w:type="dxa"/>
            <w:vMerge w:val="restart"/>
            <w:vAlign w:val="center"/>
          </w:tcPr>
          <w:p>
            <w:pPr>
              <w:spacing w:line="300" w:lineRule="exact"/>
              <w:jc w:val="center"/>
              <w:rPr>
                <w:rFonts w:ascii="仿宋" w:hAnsi="仿宋" w:eastAsia="仿宋"/>
                <w:b/>
                <w:szCs w:val="21"/>
              </w:rPr>
            </w:pPr>
            <w:r>
              <w:rPr>
                <w:rFonts w:ascii="仿宋" w:hAnsi="仿宋" w:eastAsia="仿宋"/>
                <w:b/>
                <w:szCs w:val="21"/>
              </w:rPr>
              <w:t>岗位能力及要求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6" w:type="dxa"/>
            <w:vMerge w:val="continue"/>
          </w:tcPr>
          <w:p>
            <w:pPr>
              <w:spacing w:line="300" w:lineRule="exact"/>
              <w:rPr>
                <w:rFonts w:ascii="仿宋" w:hAnsi="仿宋" w:eastAsia="仿宋"/>
                <w:szCs w:val="21"/>
              </w:rPr>
            </w:pPr>
          </w:p>
        </w:tc>
        <w:tc>
          <w:tcPr>
            <w:tcW w:w="1200" w:type="dxa"/>
            <w:vMerge w:val="continue"/>
          </w:tcPr>
          <w:p>
            <w:pPr>
              <w:spacing w:line="300" w:lineRule="exact"/>
              <w:rPr>
                <w:rFonts w:ascii="仿宋" w:hAnsi="仿宋" w:eastAsia="仿宋"/>
                <w:szCs w:val="21"/>
              </w:rPr>
            </w:pPr>
          </w:p>
        </w:tc>
        <w:tc>
          <w:tcPr>
            <w:tcW w:w="692" w:type="dxa"/>
          </w:tcPr>
          <w:p>
            <w:pPr>
              <w:spacing w:line="300" w:lineRule="exact"/>
              <w:jc w:val="center"/>
              <w:rPr>
                <w:rFonts w:ascii="仿宋" w:hAnsi="仿宋" w:eastAsia="仿宋"/>
                <w:b/>
                <w:szCs w:val="21"/>
              </w:rPr>
            </w:pPr>
            <w:r>
              <w:rPr>
                <w:rFonts w:ascii="仿宋" w:hAnsi="仿宋" w:eastAsia="仿宋"/>
                <w:b/>
                <w:szCs w:val="21"/>
              </w:rPr>
              <w:t>初始岗位</w:t>
            </w:r>
          </w:p>
        </w:tc>
        <w:tc>
          <w:tcPr>
            <w:tcW w:w="727" w:type="dxa"/>
          </w:tcPr>
          <w:p>
            <w:pPr>
              <w:spacing w:line="300" w:lineRule="exact"/>
              <w:jc w:val="center"/>
              <w:rPr>
                <w:rFonts w:ascii="仿宋" w:hAnsi="仿宋" w:eastAsia="仿宋"/>
                <w:b/>
                <w:szCs w:val="21"/>
              </w:rPr>
            </w:pPr>
            <w:r>
              <w:rPr>
                <w:rFonts w:ascii="仿宋" w:hAnsi="仿宋" w:eastAsia="仿宋"/>
                <w:b/>
                <w:szCs w:val="21"/>
              </w:rPr>
              <w:t>发展岗位</w:t>
            </w:r>
          </w:p>
        </w:tc>
        <w:tc>
          <w:tcPr>
            <w:tcW w:w="2204" w:type="dxa"/>
            <w:vMerge w:val="continue"/>
          </w:tcPr>
          <w:p>
            <w:pPr>
              <w:spacing w:line="300" w:lineRule="exact"/>
              <w:rPr>
                <w:rFonts w:ascii="仿宋" w:hAnsi="仿宋" w:eastAsia="仿宋"/>
                <w:szCs w:val="21"/>
              </w:rPr>
            </w:pPr>
          </w:p>
        </w:tc>
        <w:tc>
          <w:tcPr>
            <w:tcW w:w="3147" w:type="dxa"/>
            <w:vMerge w:val="continue"/>
          </w:tcPr>
          <w:p>
            <w:pPr>
              <w:spacing w:line="3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6" w:type="dxa"/>
            <w:vAlign w:val="center"/>
          </w:tcPr>
          <w:p>
            <w:pPr>
              <w:spacing w:line="360" w:lineRule="auto"/>
              <w:rPr>
                <w:rFonts w:ascii="仿宋" w:hAnsi="仿宋" w:eastAsia="仿宋" w:cs="宋体"/>
                <w:kern w:val="0"/>
                <w:szCs w:val="21"/>
              </w:rPr>
            </w:pPr>
          </w:p>
        </w:tc>
        <w:tc>
          <w:tcPr>
            <w:tcW w:w="1200"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会所技术类岗位</w:t>
            </w:r>
          </w:p>
        </w:tc>
        <w:tc>
          <w:tcPr>
            <w:tcW w:w="692"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护理师</w:t>
            </w:r>
          </w:p>
          <w:p>
            <w:pPr>
              <w:spacing w:line="360" w:lineRule="auto"/>
              <w:rPr>
                <w:rFonts w:ascii="仿宋" w:hAnsi="仿宋" w:eastAsia="仿宋" w:cs="宋体"/>
                <w:kern w:val="0"/>
                <w:szCs w:val="21"/>
              </w:rPr>
            </w:pPr>
            <w:r>
              <w:rPr>
                <w:rFonts w:hint="eastAsia" w:ascii="仿宋" w:hAnsi="仿宋" w:eastAsia="仿宋" w:cs="宋体"/>
                <w:kern w:val="0"/>
                <w:szCs w:val="21"/>
              </w:rPr>
              <w:t>（美容、美体师）</w:t>
            </w:r>
          </w:p>
        </w:tc>
        <w:tc>
          <w:tcPr>
            <w:tcW w:w="727"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技术主管</w:t>
            </w:r>
          </w:p>
        </w:tc>
        <w:tc>
          <w:tcPr>
            <w:tcW w:w="2204"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1.初始岗位主要以服务为主，准确找到客户需求从而进行产品、项目的销售</w:t>
            </w:r>
          </w:p>
          <w:p>
            <w:pPr>
              <w:spacing w:line="360" w:lineRule="auto"/>
              <w:rPr>
                <w:rFonts w:ascii="仿宋" w:hAnsi="仿宋" w:eastAsia="仿宋" w:cs="宋体"/>
                <w:kern w:val="0"/>
                <w:szCs w:val="21"/>
              </w:rPr>
            </w:pPr>
            <w:r>
              <w:rPr>
                <w:rFonts w:hint="eastAsia" w:ascii="仿宋" w:hAnsi="仿宋" w:eastAsia="仿宋" w:cs="宋体"/>
                <w:kern w:val="0"/>
                <w:szCs w:val="21"/>
              </w:rPr>
              <w:t>2.发展岗位主要职责为技术培训，入职员工的再教育（手法和专业）</w:t>
            </w:r>
          </w:p>
        </w:tc>
        <w:tc>
          <w:tcPr>
            <w:tcW w:w="3147"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具备规范操作面部护理、身体护理、中国养生美容技术的能力</w:t>
            </w:r>
          </w:p>
          <w:p>
            <w:pPr>
              <w:spacing w:line="360" w:lineRule="auto"/>
              <w:rPr>
                <w:rFonts w:ascii="仿宋" w:hAnsi="仿宋" w:eastAsia="仿宋" w:cs="宋体"/>
                <w:kern w:val="0"/>
                <w:szCs w:val="21"/>
              </w:rPr>
            </w:pPr>
            <w:r>
              <w:rPr>
                <w:rFonts w:hint="eastAsia" w:ascii="仿宋" w:hAnsi="仿宋" w:eastAsia="仿宋" w:cs="宋体"/>
                <w:kern w:val="0"/>
                <w:szCs w:val="21"/>
              </w:rPr>
              <w:t>具备一定的表达沟通能力</w:t>
            </w:r>
          </w:p>
          <w:p>
            <w:pPr>
              <w:spacing w:line="360" w:lineRule="auto"/>
              <w:rPr>
                <w:rFonts w:ascii="仿宋" w:hAnsi="仿宋" w:eastAsia="仿宋" w:cs="宋体"/>
                <w:kern w:val="0"/>
                <w:szCs w:val="21"/>
              </w:rPr>
            </w:pPr>
            <w:r>
              <w:rPr>
                <w:rFonts w:hint="eastAsia" w:ascii="仿宋" w:hAnsi="仿宋" w:eastAsia="仿宋" w:cs="宋体"/>
                <w:kern w:val="0"/>
                <w:szCs w:val="21"/>
              </w:rPr>
              <w:t>具备一定的服务意识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6" w:type="dxa"/>
            <w:shd w:val="clear" w:color="auto" w:fill="auto"/>
            <w:vAlign w:val="center"/>
          </w:tcPr>
          <w:p>
            <w:pPr>
              <w:spacing w:line="360" w:lineRule="auto"/>
              <w:rPr>
                <w:rFonts w:ascii="仿宋" w:hAnsi="仿宋" w:eastAsia="仿宋" w:cs="宋体"/>
                <w:kern w:val="0"/>
                <w:szCs w:val="21"/>
              </w:rPr>
            </w:pPr>
          </w:p>
        </w:tc>
        <w:tc>
          <w:tcPr>
            <w:tcW w:w="1200" w:type="dxa"/>
            <w:shd w:val="clear" w:color="auto" w:fill="auto"/>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会所销售管理类</w:t>
            </w:r>
          </w:p>
        </w:tc>
        <w:tc>
          <w:tcPr>
            <w:tcW w:w="692" w:type="dxa"/>
            <w:shd w:val="clear" w:color="auto" w:fill="auto"/>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咨询师</w:t>
            </w:r>
          </w:p>
          <w:p>
            <w:pPr>
              <w:spacing w:line="360" w:lineRule="auto"/>
              <w:rPr>
                <w:rFonts w:ascii="仿宋" w:hAnsi="仿宋" w:eastAsia="仿宋" w:cs="宋体"/>
                <w:kern w:val="0"/>
                <w:szCs w:val="21"/>
              </w:rPr>
            </w:pPr>
            <w:r>
              <w:rPr>
                <w:rFonts w:hint="eastAsia" w:ascii="仿宋" w:hAnsi="仿宋" w:eastAsia="仿宋" w:cs="宋体"/>
                <w:kern w:val="0"/>
                <w:szCs w:val="21"/>
              </w:rPr>
              <w:t>（美容咨询、医美咨询）</w:t>
            </w:r>
          </w:p>
        </w:tc>
        <w:tc>
          <w:tcPr>
            <w:tcW w:w="727" w:type="dxa"/>
            <w:shd w:val="clear" w:color="auto" w:fill="auto"/>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店长</w:t>
            </w:r>
          </w:p>
        </w:tc>
        <w:tc>
          <w:tcPr>
            <w:tcW w:w="2204" w:type="dxa"/>
            <w:shd w:val="clear" w:color="auto" w:fill="auto"/>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1.初始岗位主要职责为客情维护，业绩销售，专业咨询及评估</w:t>
            </w:r>
          </w:p>
          <w:p>
            <w:pPr>
              <w:spacing w:line="360" w:lineRule="auto"/>
              <w:rPr>
                <w:rFonts w:ascii="仿宋" w:hAnsi="仿宋" w:eastAsia="仿宋" w:cs="宋体"/>
                <w:kern w:val="0"/>
                <w:szCs w:val="21"/>
              </w:rPr>
            </w:pPr>
            <w:r>
              <w:rPr>
                <w:rFonts w:hint="eastAsia" w:ascii="仿宋" w:hAnsi="仿宋" w:eastAsia="仿宋" w:cs="宋体"/>
                <w:kern w:val="0"/>
                <w:szCs w:val="21"/>
              </w:rPr>
              <w:t>2.发展岗位主要职责为全店总控，实现团队建设，全店店务的管理</w:t>
            </w:r>
          </w:p>
        </w:tc>
        <w:tc>
          <w:tcPr>
            <w:tcW w:w="3147" w:type="dxa"/>
            <w:shd w:val="clear" w:color="auto" w:fill="auto"/>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具备全面的运用美容专业知识进行咨询、评估、设计方案的能力</w:t>
            </w:r>
          </w:p>
          <w:p>
            <w:pPr>
              <w:spacing w:line="360" w:lineRule="auto"/>
              <w:rPr>
                <w:rFonts w:ascii="仿宋" w:hAnsi="仿宋" w:eastAsia="仿宋" w:cs="宋体"/>
                <w:kern w:val="0"/>
                <w:szCs w:val="21"/>
              </w:rPr>
            </w:pPr>
            <w:r>
              <w:rPr>
                <w:rFonts w:hint="eastAsia" w:ascii="仿宋" w:hAnsi="仿宋" w:eastAsia="仿宋" w:cs="宋体"/>
                <w:kern w:val="0"/>
                <w:szCs w:val="21"/>
              </w:rPr>
              <w:t>具备良好的沟通能力、敏锐的洞察力、极强的协调能力、解决问题的能力、管理能力</w:t>
            </w:r>
          </w:p>
          <w:p>
            <w:pPr>
              <w:spacing w:line="360" w:lineRule="auto"/>
              <w:rPr>
                <w:rFonts w:ascii="仿宋" w:hAnsi="仿宋" w:eastAsia="仿宋" w:cs="宋体"/>
                <w:kern w:val="0"/>
                <w:szCs w:val="21"/>
              </w:rPr>
            </w:pPr>
            <w:r>
              <w:rPr>
                <w:rFonts w:hint="eastAsia" w:ascii="仿宋" w:hAnsi="仿宋" w:eastAsia="仿宋" w:cs="宋体"/>
                <w:kern w:val="0"/>
                <w:szCs w:val="21"/>
              </w:rPr>
              <w:t>具备良好的服务意识、服务礼仪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536" w:type="dxa"/>
            <w:shd w:val="clear" w:color="auto" w:fill="auto"/>
            <w:vAlign w:val="center"/>
          </w:tcPr>
          <w:p>
            <w:pPr>
              <w:spacing w:line="360" w:lineRule="auto"/>
              <w:rPr>
                <w:rFonts w:ascii="仿宋" w:hAnsi="仿宋" w:eastAsia="仿宋" w:cs="宋体"/>
                <w:kern w:val="0"/>
                <w:szCs w:val="21"/>
              </w:rPr>
            </w:pPr>
          </w:p>
        </w:tc>
        <w:tc>
          <w:tcPr>
            <w:tcW w:w="1200" w:type="dxa"/>
            <w:shd w:val="clear" w:color="auto" w:fill="auto"/>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化妆品销售企业培训类</w:t>
            </w:r>
          </w:p>
        </w:tc>
        <w:tc>
          <w:tcPr>
            <w:tcW w:w="692" w:type="dxa"/>
            <w:shd w:val="clear" w:color="auto" w:fill="auto"/>
          </w:tcPr>
          <w:p>
            <w:pPr>
              <w:spacing w:line="360" w:lineRule="auto"/>
              <w:rPr>
                <w:rFonts w:ascii="仿宋" w:hAnsi="仿宋" w:eastAsia="仿宋" w:cs="宋体"/>
                <w:kern w:val="0"/>
                <w:szCs w:val="21"/>
              </w:rPr>
            </w:pPr>
            <w:r>
              <w:rPr>
                <w:rFonts w:hint="eastAsia" w:ascii="仿宋" w:hAnsi="仿宋" w:eastAsia="仿宋" w:cs="宋体"/>
                <w:kern w:val="0"/>
                <w:szCs w:val="21"/>
              </w:rPr>
              <w:t>培训讲师</w:t>
            </w:r>
          </w:p>
        </w:tc>
        <w:tc>
          <w:tcPr>
            <w:tcW w:w="727" w:type="dxa"/>
            <w:shd w:val="clear" w:color="auto" w:fill="auto"/>
          </w:tcPr>
          <w:p>
            <w:pPr>
              <w:spacing w:line="360" w:lineRule="auto"/>
              <w:rPr>
                <w:rFonts w:ascii="仿宋" w:hAnsi="仿宋" w:eastAsia="仿宋" w:cs="宋体"/>
                <w:kern w:val="0"/>
                <w:szCs w:val="21"/>
              </w:rPr>
            </w:pPr>
            <w:r>
              <w:rPr>
                <w:rFonts w:hint="eastAsia" w:ascii="仿宋" w:hAnsi="仿宋" w:eastAsia="仿宋" w:cs="宋体"/>
                <w:kern w:val="0"/>
                <w:szCs w:val="21"/>
              </w:rPr>
              <w:t>培训主管（经理）</w:t>
            </w:r>
          </w:p>
        </w:tc>
        <w:tc>
          <w:tcPr>
            <w:tcW w:w="2204" w:type="dxa"/>
            <w:shd w:val="clear" w:color="auto" w:fill="auto"/>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1.初始岗位主要职责为培训主推产品或项目</w:t>
            </w:r>
          </w:p>
          <w:p>
            <w:pPr>
              <w:spacing w:line="360" w:lineRule="auto"/>
              <w:rPr>
                <w:rFonts w:ascii="仿宋" w:hAnsi="仿宋" w:eastAsia="仿宋" w:cs="宋体"/>
                <w:kern w:val="0"/>
                <w:szCs w:val="21"/>
              </w:rPr>
            </w:pPr>
            <w:r>
              <w:rPr>
                <w:rFonts w:hint="eastAsia" w:ascii="仿宋" w:hAnsi="仿宋" w:eastAsia="仿宋" w:cs="宋体"/>
                <w:kern w:val="0"/>
                <w:szCs w:val="21"/>
              </w:rPr>
              <w:t>2.发展岗位主要职责为设计及开发培训项目、组建培训讲师团队</w:t>
            </w:r>
          </w:p>
        </w:tc>
        <w:tc>
          <w:tcPr>
            <w:tcW w:w="3147" w:type="dxa"/>
            <w:shd w:val="clear" w:color="auto" w:fill="auto"/>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全面的美容专业知识</w:t>
            </w:r>
          </w:p>
          <w:p>
            <w:pPr>
              <w:spacing w:line="360" w:lineRule="auto"/>
              <w:rPr>
                <w:rFonts w:ascii="仿宋" w:hAnsi="仿宋" w:eastAsia="仿宋" w:cs="宋体"/>
                <w:kern w:val="0"/>
                <w:szCs w:val="21"/>
              </w:rPr>
            </w:pPr>
            <w:r>
              <w:rPr>
                <w:rFonts w:hint="eastAsia" w:ascii="仿宋" w:hAnsi="仿宋" w:eastAsia="仿宋" w:cs="宋体"/>
                <w:kern w:val="0"/>
                <w:szCs w:val="21"/>
              </w:rPr>
              <w:t>良好的表达能力</w:t>
            </w:r>
          </w:p>
          <w:p>
            <w:pPr>
              <w:spacing w:line="360" w:lineRule="auto"/>
              <w:rPr>
                <w:rFonts w:ascii="仿宋" w:hAnsi="仿宋" w:eastAsia="仿宋" w:cs="宋体"/>
                <w:kern w:val="0"/>
                <w:szCs w:val="21"/>
              </w:rPr>
            </w:pPr>
            <w:r>
              <w:rPr>
                <w:rFonts w:hint="eastAsia" w:ascii="仿宋" w:hAnsi="仿宋" w:eastAsia="仿宋" w:cs="宋体"/>
                <w:kern w:val="0"/>
                <w:szCs w:val="21"/>
              </w:rPr>
              <w:t>项目设计的能力</w:t>
            </w:r>
          </w:p>
          <w:p>
            <w:pPr>
              <w:spacing w:line="360" w:lineRule="auto"/>
              <w:rPr>
                <w:rFonts w:ascii="仿宋" w:hAnsi="仿宋" w:eastAsia="仿宋" w:cs="宋体"/>
                <w:kern w:val="0"/>
                <w:szCs w:val="21"/>
              </w:rPr>
            </w:pPr>
            <w:r>
              <w:rPr>
                <w:rFonts w:hint="eastAsia" w:ascii="仿宋" w:hAnsi="仿宋" w:eastAsia="仿宋" w:cs="宋体"/>
                <w:kern w:val="0"/>
                <w:szCs w:val="21"/>
              </w:rPr>
              <w:t>全面的美容专业知识</w:t>
            </w:r>
          </w:p>
          <w:p>
            <w:pPr>
              <w:spacing w:line="360" w:lineRule="auto"/>
              <w:rPr>
                <w:rFonts w:ascii="仿宋" w:hAnsi="仿宋" w:eastAsia="仿宋" w:cs="宋体"/>
                <w:kern w:val="0"/>
                <w:szCs w:val="21"/>
              </w:rPr>
            </w:pPr>
            <w:r>
              <w:rPr>
                <w:rFonts w:hint="eastAsia" w:ascii="仿宋" w:hAnsi="仿宋" w:eastAsia="仿宋" w:cs="宋体"/>
                <w:kern w:val="0"/>
                <w:szCs w:val="21"/>
              </w:rPr>
              <w:t>领导能力</w:t>
            </w:r>
          </w:p>
          <w:p>
            <w:pPr>
              <w:spacing w:line="360" w:lineRule="auto"/>
              <w:rPr>
                <w:rFonts w:ascii="仿宋" w:hAnsi="仿宋" w:eastAsia="仿宋" w:cs="宋体"/>
                <w:kern w:val="0"/>
                <w:szCs w:val="21"/>
              </w:rPr>
            </w:pPr>
            <w:r>
              <w:rPr>
                <w:rFonts w:hint="eastAsia" w:ascii="仿宋" w:hAnsi="仿宋" w:eastAsia="仿宋" w:cs="宋体"/>
                <w:kern w:val="0"/>
                <w:szCs w:val="21"/>
              </w:rPr>
              <w:t xml:space="preserve">良好的沟通能力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6" w:type="dxa"/>
            <w:vAlign w:val="center"/>
          </w:tcPr>
          <w:p>
            <w:pPr>
              <w:spacing w:line="360" w:lineRule="auto"/>
              <w:rPr>
                <w:rFonts w:ascii="仿宋" w:hAnsi="仿宋" w:eastAsia="仿宋" w:cs="宋体"/>
                <w:kern w:val="0"/>
                <w:szCs w:val="21"/>
              </w:rPr>
            </w:pPr>
          </w:p>
        </w:tc>
        <w:tc>
          <w:tcPr>
            <w:tcW w:w="1200"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化妆品销售企业销售类</w:t>
            </w:r>
          </w:p>
        </w:tc>
        <w:tc>
          <w:tcPr>
            <w:tcW w:w="692" w:type="dxa"/>
          </w:tcPr>
          <w:p>
            <w:pPr>
              <w:spacing w:line="360" w:lineRule="auto"/>
              <w:rPr>
                <w:rFonts w:ascii="仿宋" w:hAnsi="仿宋" w:eastAsia="仿宋" w:cs="宋体"/>
                <w:kern w:val="0"/>
                <w:szCs w:val="21"/>
              </w:rPr>
            </w:pPr>
            <w:r>
              <w:rPr>
                <w:rFonts w:hint="eastAsia" w:ascii="仿宋" w:hAnsi="仿宋" w:eastAsia="仿宋" w:cs="宋体"/>
                <w:kern w:val="0"/>
                <w:szCs w:val="21"/>
              </w:rPr>
              <w:t>美容导师</w:t>
            </w:r>
          </w:p>
          <w:p>
            <w:pPr>
              <w:spacing w:line="360" w:lineRule="auto"/>
              <w:rPr>
                <w:rFonts w:ascii="仿宋" w:hAnsi="仿宋" w:eastAsia="仿宋" w:cs="宋体"/>
                <w:kern w:val="0"/>
                <w:szCs w:val="21"/>
              </w:rPr>
            </w:pPr>
            <w:r>
              <w:rPr>
                <w:rFonts w:hint="eastAsia" w:ascii="仿宋" w:hAnsi="仿宋" w:eastAsia="仿宋" w:cs="宋体"/>
                <w:kern w:val="0"/>
                <w:szCs w:val="21"/>
              </w:rPr>
              <w:t>（督导）</w:t>
            </w:r>
          </w:p>
        </w:tc>
        <w:tc>
          <w:tcPr>
            <w:tcW w:w="727" w:type="dxa"/>
          </w:tcPr>
          <w:p>
            <w:pPr>
              <w:spacing w:line="360" w:lineRule="auto"/>
              <w:rPr>
                <w:rFonts w:ascii="仿宋" w:hAnsi="仿宋" w:eastAsia="仿宋" w:cs="宋体"/>
                <w:kern w:val="0"/>
                <w:szCs w:val="21"/>
              </w:rPr>
            </w:pPr>
            <w:r>
              <w:rPr>
                <w:rFonts w:hint="eastAsia" w:ascii="仿宋" w:hAnsi="仿宋" w:eastAsia="仿宋" w:cs="宋体"/>
                <w:kern w:val="0"/>
                <w:szCs w:val="21"/>
              </w:rPr>
              <w:t>区域经理</w:t>
            </w:r>
          </w:p>
        </w:tc>
        <w:tc>
          <w:tcPr>
            <w:tcW w:w="2204"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1.初始岗位主要职责为产品销售及培训，</w:t>
            </w:r>
          </w:p>
          <w:p>
            <w:pPr>
              <w:spacing w:line="360" w:lineRule="auto"/>
              <w:rPr>
                <w:rFonts w:ascii="仿宋" w:hAnsi="仿宋" w:eastAsia="仿宋" w:cs="宋体"/>
                <w:kern w:val="0"/>
                <w:szCs w:val="21"/>
              </w:rPr>
            </w:pPr>
            <w:r>
              <w:rPr>
                <w:rFonts w:hint="eastAsia" w:ascii="仿宋" w:hAnsi="仿宋" w:eastAsia="仿宋" w:cs="宋体"/>
                <w:kern w:val="0"/>
                <w:szCs w:val="21"/>
              </w:rPr>
              <w:t>活动策划及执行</w:t>
            </w:r>
          </w:p>
          <w:p>
            <w:pPr>
              <w:spacing w:line="360" w:lineRule="auto"/>
              <w:rPr>
                <w:rFonts w:ascii="仿宋" w:hAnsi="仿宋" w:eastAsia="仿宋" w:cs="宋体"/>
                <w:kern w:val="0"/>
                <w:szCs w:val="21"/>
              </w:rPr>
            </w:pPr>
            <w:r>
              <w:rPr>
                <w:rFonts w:hint="eastAsia" w:ascii="仿宋" w:hAnsi="仿宋" w:eastAsia="仿宋" w:cs="宋体"/>
                <w:kern w:val="0"/>
                <w:szCs w:val="21"/>
              </w:rPr>
              <w:t>2.发展岗位主要职责为组建本团队人员，对所辖区域内店家销量，</w:t>
            </w:r>
          </w:p>
          <w:p>
            <w:pPr>
              <w:spacing w:line="360" w:lineRule="auto"/>
              <w:rPr>
                <w:rFonts w:ascii="仿宋" w:hAnsi="仿宋" w:eastAsia="仿宋" w:cs="宋体"/>
                <w:kern w:val="0"/>
                <w:szCs w:val="21"/>
              </w:rPr>
            </w:pPr>
            <w:r>
              <w:rPr>
                <w:rFonts w:hint="eastAsia" w:ascii="仿宋" w:hAnsi="仿宋" w:eastAsia="仿宋" w:cs="宋体"/>
                <w:kern w:val="0"/>
                <w:szCs w:val="21"/>
              </w:rPr>
              <w:t>管理团队</w:t>
            </w:r>
          </w:p>
        </w:tc>
        <w:tc>
          <w:tcPr>
            <w:tcW w:w="3147"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全面的美容专业知识</w:t>
            </w:r>
          </w:p>
          <w:p>
            <w:pPr>
              <w:spacing w:line="360" w:lineRule="auto"/>
              <w:rPr>
                <w:rFonts w:ascii="仿宋" w:hAnsi="仿宋" w:eastAsia="仿宋" w:cs="宋体"/>
                <w:kern w:val="0"/>
                <w:szCs w:val="21"/>
              </w:rPr>
            </w:pPr>
            <w:r>
              <w:rPr>
                <w:rFonts w:hint="eastAsia" w:ascii="仿宋" w:hAnsi="仿宋" w:eastAsia="仿宋" w:cs="宋体"/>
                <w:kern w:val="0"/>
                <w:szCs w:val="21"/>
              </w:rPr>
              <w:t>沟通协调能力</w:t>
            </w:r>
          </w:p>
          <w:p>
            <w:pPr>
              <w:spacing w:line="360" w:lineRule="auto"/>
              <w:rPr>
                <w:rFonts w:ascii="仿宋" w:hAnsi="仿宋" w:eastAsia="仿宋" w:cs="宋体"/>
                <w:kern w:val="0"/>
                <w:szCs w:val="21"/>
              </w:rPr>
            </w:pPr>
            <w:r>
              <w:rPr>
                <w:rFonts w:hint="eastAsia" w:ascii="仿宋" w:hAnsi="仿宋" w:eastAsia="仿宋" w:cs="宋体"/>
                <w:kern w:val="0"/>
                <w:szCs w:val="21"/>
              </w:rPr>
              <w:t>销售能力</w:t>
            </w:r>
          </w:p>
          <w:p>
            <w:pPr>
              <w:spacing w:line="360" w:lineRule="auto"/>
              <w:rPr>
                <w:rFonts w:ascii="仿宋" w:hAnsi="仿宋" w:eastAsia="仿宋" w:cs="宋体"/>
                <w:kern w:val="0"/>
                <w:szCs w:val="21"/>
              </w:rPr>
            </w:pPr>
            <w:r>
              <w:rPr>
                <w:rFonts w:hint="eastAsia" w:ascii="仿宋" w:hAnsi="仿宋" w:eastAsia="仿宋" w:cs="宋体"/>
                <w:kern w:val="0"/>
                <w:szCs w:val="21"/>
              </w:rPr>
              <w:t>执行能力</w:t>
            </w:r>
          </w:p>
          <w:p>
            <w:pPr>
              <w:spacing w:line="360" w:lineRule="auto"/>
              <w:rPr>
                <w:rFonts w:ascii="仿宋" w:hAnsi="仿宋" w:eastAsia="仿宋" w:cs="宋体"/>
                <w:kern w:val="0"/>
                <w:szCs w:val="21"/>
              </w:rPr>
            </w:pPr>
            <w:r>
              <w:rPr>
                <w:rFonts w:hint="eastAsia" w:ascii="仿宋" w:hAnsi="仿宋" w:eastAsia="仿宋" w:cs="宋体"/>
                <w:kern w:val="0"/>
                <w:szCs w:val="21"/>
              </w:rPr>
              <w:t>有良好的服务意识、服务礼仪</w:t>
            </w:r>
          </w:p>
          <w:p>
            <w:pPr>
              <w:spacing w:line="360" w:lineRule="auto"/>
              <w:rPr>
                <w:rFonts w:ascii="仿宋" w:hAnsi="仿宋" w:eastAsia="仿宋" w:cs="宋体"/>
                <w:kern w:val="0"/>
                <w:szCs w:val="21"/>
              </w:rPr>
            </w:pPr>
            <w:r>
              <w:rPr>
                <w:rFonts w:hint="eastAsia" w:ascii="仿宋" w:hAnsi="仿宋" w:eastAsia="仿宋" w:cs="宋体"/>
                <w:kern w:val="0"/>
                <w:szCs w:val="21"/>
              </w:rPr>
              <w:t>团队组织</w:t>
            </w:r>
          </w:p>
          <w:p>
            <w:pPr>
              <w:spacing w:line="360" w:lineRule="auto"/>
              <w:rPr>
                <w:rFonts w:ascii="仿宋" w:hAnsi="仿宋" w:eastAsia="仿宋" w:cs="宋体"/>
                <w:kern w:val="0"/>
                <w:szCs w:val="21"/>
              </w:rPr>
            </w:pPr>
            <w:r>
              <w:rPr>
                <w:rFonts w:hint="eastAsia" w:ascii="仿宋" w:hAnsi="仿宋" w:eastAsia="仿宋" w:cs="宋体"/>
                <w:kern w:val="0"/>
                <w:szCs w:val="21"/>
              </w:rPr>
              <w:t>沟通协调能力</w:t>
            </w:r>
          </w:p>
          <w:p>
            <w:pPr>
              <w:spacing w:line="360" w:lineRule="auto"/>
              <w:rPr>
                <w:rFonts w:ascii="仿宋" w:hAnsi="仿宋" w:eastAsia="仿宋" w:cs="宋体"/>
                <w:kern w:val="0"/>
                <w:szCs w:val="21"/>
              </w:rPr>
            </w:pPr>
            <w:r>
              <w:rPr>
                <w:rFonts w:hint="eastAsia" w:ascii="仿宋" w:hAnsi="仿宋" w:eastAsia="仿宋" w:cs="宋体"/>
                <w:kern w:val="0"/>
                <w:szCs w:val="21"/>
              </w:rPr>
              <w:t>制定计划、执行能力</w:t>
            </w:r>
          </w:p>
          <w:p>
            <w:pPr>
              <w:spacing w:line="360" w:lineRule="auto"/>
              <w:rPr>
                <w:rFonts w:ascii="仿宋" w:hAnsi="仿宋" w:eastAsia="仿宋" w:cs="宋体"/>
                <w:kern w:val="0"/>
                <w:szCs w:val="21"/>
              </w:rPr>
            </w:pPr>
            <w:r>
              <w:rPr>
                <w:rFonts w:hint="eastAsia" w:ascii="仿宋" w:hAnsi="仿宋" w:eastAsia="仿宋" w:cs="宋体"/>
                <w:kern w:val="0"/>
                <w:szCs w:val="21"/>
              </w:rPr>
              <w:t>领导能力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6" w:type="dxa"/>
            <w:vAlign w:val="center"/>
          </w:tcPr>
          <w:p>
            <w:pPr>
              <w:spacing w:line="360" w:lineRule="auto"/>
              <w:rPr>
                <w:rFonts w:ascii="仿宋" w:hAnsi="仿宋" w:eastAsia="仿宋" w:cs="宋体"/>
                <w:kern w:val="0"/>
                <w:szCs w:val="21"/>
              </w:rPr>
            </w:pPr>
          </w:p>
        </w:tc>
        <w:tc>
          <w:tcPr>
            <w:tcW w:w="1200"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教学机构</w:t>
            </w:r>
          </w:p>
        </w:tc>
        <w:tc>
          <w:tcPr>
            <w:tcW w:w="692"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教师</w:t>
            </w:r>
          </w:p>
        </w:tc>
        <w:tc>
          <w:tcPr>
            <w:tcW w:w="727" w:type="dxa"/>
            <w:vAlign w:val="center"/>
          </w:tcPr>
          <w:p>
            <w:pPr>
              <w:spacing w:line="360" w:lineRule="auto"/>
              <w:rPr>
                <w:rFonts w:ascii="仿宋" w:hAnsi="仿宋" w:eastAsia="仿宋" w:cs="宋体"/>
                <w:kern w:val="0"/>
                <w:szCs w:val="21"/>
              </w:rPr>
            </w:pPr>
          </w:p>
        </w:tc>
        <w:tc>
          <w:tcPr>
            <w:tcW w:w="2204"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岗位主要职责为完成相关教学任务</w:t>
            </w:r>
          </w:p>
        </w:tc>
        <w:tc>
          <w:tcPr>
            <w:tcW w:w="3147" w:type="dxa"/>
            <w:vAlign w:val="center"/>
          </w:tcPr>
          <w:p>
            <w:pPr>
              <w:spacing w:line="360" w:lineRule="auto"/>
              <w:rPr>
                <w:rFonts w:ascii="仿宋" w:hAnsi="仿宋" w:eastAsia="仿宋" w:cs="宋体"/>
                <w:kern w:val="0"/>
                <w:szCs w:val="21"/>
              </w:rPr>
            </w:pPr>
            <w:r>
              <w:rPr>
                <w:rFonts w:hint="eastAsia" w:ascii="仿宋" w:hAnsi="仿宋" w:eastAsia="仿宋" w:cs="宋体"/>
                <w:kern w:val="0"/>
                <w:szCs w:val="21"/>
              </w:rPr>
              <w:t>美容专业知识</w:t>
            </w:r>
          </w:p>
          <w:p>
            <w:pPr>
              <w:spacing w:line="360" w:lineRule="auto"/>
              <w:rPr>
                <w:rFonts w:ascii="仿宋" w:hAnsi="仿宋" w:eastAsia="仿宋" w:cs="宋体"/>
                <w:kern w:val="0"/>
                <w:szCs w:val="21"/>
              </w:rPr>
            </w:pPr>
            <w:r>
              <w:rPr>
                <w:rFonts w:hint="eastAsia" w:ascii="仿宋" w:hAnsi="仿宋" w:eastAsia="仿宋" w:cs="宋体"/>
                <w:kern w:val="0"/>
                <w:szCs w:val="21"/>
              </w:rPr>
              <w:t>课程设计</w:t>
            </w:r>
          </w:p>
          <w:p>
            <w:pPr>
              <w:spacing w:line="360" w:lineRule="auto"/>
              <w:rPr>
                <w:rFonts w:ascii="仿宋" w:hAnsi="仿宋" w:eastAsia="仿宋" w:cs="宋体"/>
                <w:kern w:val="0"/>
                <w:szCs w:val="21"/>
              </w:rPr>
            </w:pPr>
            <w:r>
              <w:rPr>
                <w:rFonts w:hint="eastAsia" w:ascii="仿宋" w:hAnsi="仿宋" w:eastAsia="仿宋" w:cs="宋体"/>
                <w:kern w:val="0"/>
                <w:szCs w:val="21"/>
              </w:rPr>
              <w:t>效果评估及跟进工作</w:t>
            </w:r>
          </w:p>
          <w:p>
            <w:pPr>
              <w:spacing w:line="360" w:lineRule="auto"/>
              <w:rPr>
                <w:rFonts w:ascii="仿宋" w:hAnsi="仿宋" w:eastAsia="仿宋" w:cs="宋体"/>
                <w:kern w:val="0"/>
                <w:szCs w:val="21"/>
              </w:rPr>
            </w:pPr>
            <w:r>
              <w:rPr>
                <w:rFonts w:hint="eastAsia" w:ascii="仿宋" w:hAnsi="仿宋" w:eastAsia="仿宋" w:cs="宋体"/>
                <w:kern w:val="0"/>
                <w:szCs w:val="21"/>
              </w:rPr>
              <w:t>沟通的能力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6" w:type="dxa"/>
            <w:vAlign w:val="center"/>
          </w:tcPr>
          <w:p>
            <w:pPr>
              <w:spacing w:line="360" w:lineRule="auto"/>
              <w:rPr>
                <w:rFonts w:ascii="仿宋" w:hAnsi="仿宋" w:eastAsia="仿宋" w:cs="宋体"/>
                <w:kern w:val="0"/>
                <w:szCs w:val="21"/>
              </w:rPr>
            </w:pPr>
          </w:p>
        </w:tc>
        <w:tc>
          <w:tcPr>
            <w:tcW w:w="1200" w:type="dxa"/>
            <w:vAlign w:val="center"/>
          </w:tcPr>
          <w:p>
            <w:pPr>
              <w:spacing w:line="360" w:lineRule="auto"/>
              <w:rPr>
                <w:rFonts w:ascii="仿宋" w:hAnsi="仿宋" w:eastAsia="仿宋" w:cs="宋体"/>
                <w:kern w:val="0"/>
                <w:szCs w:val="21"/>
              </w:rPr>
            </w:pPr>
          </w:p>
        </w:tc>
        <w:tc>
          <w:tcPr>
            <w:tcW w:w="692" w:type="dxa"/>
            <w:vAlign w:val="center"/>
          </w:tcPr>
          <w:p>
            <w:pPr>
              <w:spacing w:line="360" w:lineRule="auto"/>
              <w:rPr>
                <w:rFonts w:ascii="仿宋" w:hAnsi="仿宋" w:eastAsia="仿宋" w:cs="宋体"/>
                <w:kern w:val="0"/>
                <w:szCs w:val="21"/>
              </w:rPr>
            </w:pPr>
          </w:p>
        </w:tc>
        <w:tc>
          <w:tcPr>
            <w:tcW w:w="727" w:type="dxa"/>
            <w:vAlign w:val="center"/>
          </w:tcPr>
          <w:p>
            <w:pPr>
              <w:spacing w:line="360" w:lineRule="auto"/>
              <w:rPr>
                <w:rFonts w:ascii="仿宋" w:hAnsi="仿宋" w:eastAsia="仿宋" w:cs="宋体"/>
                <w:kern w:val="0"/>
                <w:szCs w:val="21"/>
              </w:rPr>
            </w:pPr>
          </w:p>
        </w:tc>
        <w:tc>
          <w:tcPr>
            <w:tcW w:w="2204" w:type="dxa"/>
            <w:vAlign w:val="center"/>
          </w:tcPr>
          <w:p>
            <w:pPr>
              <w:spacing w:line="360" w:lineRule="auto"/>
              <w:rPr>
                <w:rFonts w:ascii="仿宋" w:hAnsi="仿宋" w:eastAsia="仿宋" w:cs="宋体"/>
                <w:kern w:val="0"/>
                <w:szCs w:val="21"/>
              </w:rPr>
            </w:pPr>
          </w:p>
        </w:tc>
        <w:tc>
          <w:tcPr>
            <w:tcW w:w="3147" w:type="dxa"/>
            <w:vAlign w:val="center"/>
          </w:tcPr>
          <w:p>
            <w:pPr>
              <w:spacing w:line="360" w:lineRule="auto"/>
              <w:rPr>
                <w:rFonts w:ascii="仿宋" w:hAnsi="仿宋" w:eastAsia="仿宋" w:cs="宋体"/>
                <w:kern w:val="0"/>
                <w:szCs w:val="21"/>
              </w:rPr>
            </w:pPr>
          </w:p>
        </w:tc>
      </w:tr>
    </w:tbl>
    <w:p>
      <w:pPr>
        <w:pStyle w:val="15"/>
        <w:numPr>
          <w:ilvl w:val="0"/>
          <w:numId w:val="2"/>
        </w:numPr>
        <w:ind w:firstLineChars="0"/>
        <w:rPr>
          <w:b/>
          <w:sz w:val="28"/>
          <w:szCs w:val="28"/>
        </w:rPr>
      </w:pPr>
      <w:r>
        <w:rPr>
          <w:rFonts w:hint="eastAsia"/>
          <w:b/>
          <w:sz w:val="28"/>
          <w:szCs w:val="28"/>
        </w:rPr>
        <w:t>培养目标与培养规格</w:t>
      </w:r>
    </w:p>
    <w:p>
      <w:pPr>
        <w:spacing w:line="360" w:lineRule="auto"/>
        <w:rPr>
          <w:rFonts w:ascii="仿宋" w:hAnsi="仿宋" w:eastAsia="仿宋" w:cs="微软雅黑"/>
          <w:b/>
          <w:sz w:val="24"/>
          <w:szCs w:val="21"/>
        </w:rPr>
      </w:pPr>
      <w:r>
        <w:rPr>
          <w:rFonts w:hint="eastAsia" w:ascii="仿宋" w:hAnsi="仿宋" w:eastAsia="仿宋" w:cs="微软雅黑"/>
          <w:b/>
          <w:sz w:val="24"/>
          <w:szCs w:val="21"/>
        </w:rPr>
        <w:t>（一）培养目标</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本专业面向美容行业的服务、销售、管理一线，培养德、智、体、美、劳全面发展，掌握必备的现代医学、中国传统医学基础理论和美容保健的专业知识，具备从事制定美容护理方案、完成美容护理规范操作、完成美容项目创新设计、美容化妆品（美容仪器）销售、美容院经营管理的基本职业能力，具有基本的美容职业素养和创新意识，能从事美容行业各岗位工作的高素质技术技能人才。</w:t>
      </w:r>
    </w:p>
    <w:p>
      <w:pPr>
        <w:spacing w:line="360" w:lineRule="auto"/>
        <w:rPr>
          <w:rFonts w:ascii="仿宋" w:hAnsi="仿宋" w:eastAsia="仿宋" w:cs="微软雅黑"/>
          <w:b/>
          <w:sz w:val="24"/>
          <w:szCs w:val="21"/>
        </w:rPr>
      </w:pPr>
      <w:r>
        <w:rPr>
          <w:rFonts w:hint="eastAsia" w:ascii="仿宋" w:hAnsi="仿宋" w:eastAsia="仿宋" w:cs="微软雅黑"/>
          <w:b/>
          <w:sz w:val="24"/>
          <w:szCs w:val="21"/>
        </w:rPr>
        <w:t>（二）培养</w:t>
      </w:r>
      <w:r>
        <w:rPr>
          <w:rFonts w:ascii="仿宋" w:hAnsi="仿宋" w:eastAsia="仿宋" w:cs="微软雅黑"/>
          <w:b/>
          <w:sz w:val="24"/>
          <w:szCs w:val="21"/>
        </w:rPr>
        <w:t>规格</w:t>
      </w:r>
    </w:p>
    <w:p>
      <w:pPr>
        <w:spacing w:line="360" w:lineRule="auto"/>
        <w:ind w:firstLine="482" w:firstLineChars="200"/>
        <w:rPr>
          <w:rFonts w:ascii="仿宋" w:hAnsi="仿宋" w:eastAsia="仿宋" w:cs="微软雅黑"/>
          <w:b/>
          <w:sz w:val="24"/>
          <w:szCs w:val="21"/>
        </w:rPr>
      </w:pPr>
      <w:r>
        <w:rPr>
          <w:rFonts w:hint="eastAsia" w:ascii="仿宋" w:hAnsi="仿宋" w:eastAsia="仿宋" w:cs="微软雅黑"/>
          <w:b/>
          <w:sz w:val="24"/>
          <w:szCs w:val="21"/>
        </w:rPr>
        <w:t>1.素质要求</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（1）坚定拥护中国共产党领导，在习近平新时代中国特色社会主义思想指引下，践行社会主义核心价值观，具有深厚的爱国情感和中华民族自豪感；</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（2）崇尚宪法、遵法守纪、崇德向善、诚实守信、尊重生命、热爱劳动，履行道德准则和行为规范，具有社会责任感和社会参与意识；</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w:t>
      </w:r>
      <w:r>
        <w:rPr>
          <w:rFonts w:ascii="仿宋" w:hAnsi="仿宋" w:eastAsia="仿宋" w:cs="微软雅黑"/>
          <w:sz w:val="24"/>
          <w:szCs w:val="21"/>
        </w:rPr>
        <w:t>3</w:t>
      </w:r>
      <w:r>
        <w:rPr>
          <w:rFonts w:hint="eastAsia" w:ascii="仿宋" w:hAnsi="仿宋" w:eastAsia="仿宋" w:cs="微软雅黑"/>
          <w:sz w:val="24"/>
          <w:szCs w:val="21"/>
        </w:rPr>
        <w:t>）具有自我管理能力、职业生涯规划的意识，有较强的集体意识和团队合作精神；</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w:t>
      </w:r>
      <w:r>
        <w:rPr>
          <w:rFonts w:ascii="仿宋" w:hAnsi="仿宋" w:eastAsia="仿宋" w:cs="微软雅黑"/>
          <w:sz w:val="24"/>
          <w:szCs w:val="21"/>
        </w:rPr>
        <w:t>4</w:t>
      </w:r>
      <w:r>
        <w:rPr>
          <w:rFonts w:hint="eastAsia" w:ascii="仿宋" w:hAnsi="仿宋" w:eastAsia="仿宋" w:cs="微软雅黑"/>
          <w:sz w:val="24"/>
          <w:szCs w:val="21"/>
        </w:rPr>
        <w:t>）具有健康的体魄、心理和健全的人格，掌握基本运动知识和1-2项运动技能，养成良好的健身与卫生习惯，良好的行为习惯；</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w:t>
      </w:r>
      <w:r>
        <w:rPr>
          <w:rFonts w:ascii="仿宋" w:hAnsi="仿宋" w:eastAsia="仿宋" w:cs="微软雅黑"/>
          <w:sz w:val="24"/>
          <w:szCs w:val="21"/>
        </w:rPr>
        <w:t>5</w:t>
      </w:r>
      <w:r>
        <w:rPr>
          <w:rFonts w:hint="eastAsia" w:ascii="仿宋" w:hAnsi="仿宋" w:eastAsia="仿宋" w:cs="微软雅黑"/>
          <w:sz w:val="24"/>
          <w:szCs w:val="21"/>
        </w:rPr>
        <w:t>）具有一定的审美和人文素养，能够形成1-2项艺术特长或爱好。</w:t>
      </w:r>
    </w:p>
    <w:p>
      <w:pPr>
        <w:spacing w:line="360" w:lineRule="auto"/>
        <w:ind w:firstLine="482" w:firstLineChars="200"/>
        <w:rPr>
          <w:rFonts w:ascii="仿宋" w:hAnsi="仿宋" w:eastAsia="仿宋" w:cs="微软雅黑"/>
          <w:b/>
          <w:sz w:val="24"/>
          <w:szCs w:val="21"/>
        </w:rPr>
      </w:pPr>
      <w:r>
        <w:rPr>
          <w:rFonts w:hint="eastAsia" w:ascii="仿宋" w:hAnsi="仿宋" w:eastAsia="仿宋" w:cs="微软雅黑"/>
          <w:b/>
          <w:sz w:val="24"/>
          <w:szCs w:val="21"/>
        </w:rPr>
        <w:t>2.知识要求</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（1）掌握必备的思想政治理论、科学文化基础知识和中华优秀传统文化知识；</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（2）熟悉环境保护、安全消防、文明生产等相关知识</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（3）掌握现代医学基础知识。</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（2）掌握中国传统医学基础知识。</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（3）掌握专业理论知识。</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（4）熟悉产品营销基本理论。</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（5）熟悉美容企业管理基本知识。</w:t>
      </w:r>
    </w:p>
    <w:p>
      <w:pPr>
        <w:spacing w:line="360" w:lineRule="auto"/>
        <w:ind w:firstLine="480" w:firstLineChars="200"/>
        <w:rPr>
          <w:rFonts w:ascii="仿宋" w:hAnsi="仿宋" w:eastAsia="仿宋" w:cs="微软雅黑"/>
          <w:sz w:val="24"/>
          <w:szCs w:val="21"/>
        </w:rPr>
      </w:pPr>
      <w:r>
        <w:rPr>
          <w:rFonts w:hint="eastAsia" w:ascii="仿宋" w:hAnsi="仿宋" w:eastAsia="仿宋" w:cs="微软雅黑"/>
          <w:sz w:val="24"/>
          <w:szCs w:val="21"/>
        </w:rPr>
        <w:t>（6）熟悉教学设计基本知识。</w:t>
      </w:r>
    </w:p>
    <w:p>
      <w:pPr>
        <w:spacing w:line="360" w:lineRule="auto"/>
        <w:ind w:firstLine="482" w:firstLineChars="200"/>
        <w:rPr>
          <w:rFonts w:ascii="仿宋" w:hAnsi="仿宋" w:eastAsia="仿宋" w:cs="微软雅黑"/>
          <w:b/>
          <w:sz w:val="24"/>
          <w:szCs w:val="24"/>
        </w:rPr>
      </w:pPr>
      <w:r>
        <w:rPr>
          <w:rFonts w:hint="eastAsia" w:ascii="仿宋" w:hAnsi="仿宋" w:eastAsia="仿宋" w:cs="微软雅黑"/>
          <w:b/>
          <w:sz w:val="24"/>
          <w:szCs w:val="24"/>
        </w:rPr>
        <w:t>3.能力要求</w:t>
      </w:r>
    </w:p>
    <w:p>
      <w:pPr>
        <w:spacing w:line="360" w:lineRule="auto"/>
        <w:ind w:left="420"/>
        <w:rPr>
          <w:rFonts w:ascii="仿宋" w:hAnsi="仿宋" w:eastAsia="仿宋" w:cs="微软雅黑"/>
          <w:sz w:val="24"/>
          <w:szCs w:val="21"/>
        </w:rPr>
      </w:pPr>
      <w:r>
        <w:rPr>
          <w:rFonts w:hint="eastAsia" w:ascii="仿宋" w:hAnsi="仿宋" w:eastAsia="仿宋" w:cs="微软雅黑"/>
          <w:sz w:val="24"/>
          <w:szCs w:val="21"/>
        </w:rPr>
        <w:t>具有探究学习、终身学习、分析问题和解决问题的能力；</w:t>
      </w:r>
    </w:p>
    <w:p>
      <w:pPr>
        <w:spacing w:line="360" w:lineRule="auto"/>
        <w:ind w:left="420"/>
        <w:rPr>
          <w:rFonts w:ascii="仿宋" w:hAnsi="仿宋" w:eastAsia="仿宋" w:cs="微软雅黑"/>
          <w:sz w:val="24"/>
          <w:szCs w:val="21"/>
        </w:rPr>
      </w:pPr>
      <w:r>
        <w:rPr>
          <w:rFonts w:hint="eastAsia" w:ascii="仿宋" w:hAnsi="仿宋" w:eastAsia="仿宋" w:cs="微软雅黑"/>
          <w:sz w:val="24"/>
          <w:szCs w:val="21"/>
        </w:rPr>
        <w:t>具有良好的语言、文字表达能力和沟通能力；</w:t>
      </w:r>
    </w:p>
    <w:p>
      <w:pPr>
        <w:spacing w:line="360" w:lineRule="auto"/>
        <w:ind w:left="420"/>
        <w:rPr>
          <w:rFonts w:ascii="仿宋" w:hAnsi="仿宋" w:eastAsia="仿宋" w:cs="微软雅黑"/>
          <w:sz w:val="24"/>
          <w:szCs w:val="21"/>
        </w:rPr>
      </w:pPr>
      <w:r>
        <w:rPr>
          <w:rFonts w:hint="eastAsia" w:ascii="仿宋" w:hAnsi="仿宋" w:eastAsia="仿宋" w:cs="微软雅黑"/>
          <w:sz w:val="24"/>
          <w:szCs w:val="21"/>
        </w:rPr>
        <w:t>能运用专业知识制定专业护理方案；</w:t>
      </w:r>
    </w:p>
    <w:p>
      <w:pPr>
        <w:spacing w:line="360" w:lineRule="auto"/>
        <w:ind w:left="420"/>
        <w:rPr>
          <w:rFonts w:ascii="仿宋" w:hAnsi="仿宋" w:eastAsia="仿宋" w:cs="微软雅黑"/>
          <w:sz w:val="24"/>
          <w:szCs w:val="21"/>
        </w:rPr>
      </w:pPr>
      <w:r>
        <w:rPr>
          <w:rFonts w:hint="eastAsia" w:ascii="仿宋" w:hAnsi="仿宋" w:eastAsia="仿宋" w:cs="微软雅黑"/>
          <w:sz w:val="24"/>
          <w:szCs w:val="21"/>
        </w:rPr>
        <w:t>能够规范实施护理方案，具备良好专业技能的能力；</w:t>
      </w:r>
    </w:p>
    <w:p>
      <w:pPr>
        <w:spacing w:line="360" w:lineRule="auto"/>
        <w:ind w:left="420"/>
        <w:rPr>
          <w:rFonts w:ascii="仿宋" w:hAnsi="仿宋" w:eastAsia="仿宋" w:cs="微软雅黑"/>
          <w:sz w:val="24"/>
          <w:szCs w:val="21"/>
        </w:rPr>
      </w:pPr>
      <w:r>
        <w:rPr>
          <w:rFonts w:hint="eastAsia" w:ascii="仿宋" w:hAnsi="仿宋" w:eastAsia="仿宋" w:cs="微软雅黑"/>
          <w:sz w:val="24"/>
          <w:szCs w:val="21"/>
        </w:rPr>
        <w:t>能够根据要求设计可推广、可实施的美容护理项目及专业活动策划方案；</w:t>
      </w:r>
    </w:p>
    <w:p>
      <w:pPr>
        <w:spacing w:line="360" w:lineRule="auto"/>
        <w:ind w:left="420"/>
        <w:rPr>
          <w:rFonts w:ascii="仿宋" w:hAnsi="仿宋" w:eastAsia="仿宋" w:cs="微软雅黑"/>
          <w:sz w:val="24"/>
          <w:szCs w:val="21"/>
        </w:rPr>
      </w:pPr>
      <w:r>
        <w:rPr>
          <w:rFonts w:hint="eastAsia" w:ascii="仿宋" w:hAnsi="仿宋" w:eastAsia="仿宋" w:cs="微软雅黑"/>
          <w:sz w:val="24"/>
          <w:szCs w:val="21"/>
        </w:rPr>
        <w:t>具备一定的销售能力和店务管理的基本能力；</w:t>
      </w:r>
    </w:p>
    <w:p>
      <w:pPr>
        <w:pStyle w:val="15"/>
        <w:numPr>
          <w:ilvl w:val="0"/>
          <w:numId w:val="2"/>
        </w:numPr>
        <w:ind w:firstLineChars="0"/>
        <w:rPr>
          <w:b/>
          <w:sz w:val="28"/>
          <w:szCs w:val="28"/>
        </w:rPr>
      </w:pPr>
      <w:r>
        <w:rPr>
          <w:rFonts w:hint="eastAsia"/>
          <w:b/>
          <w:sz w:val="28"/>
          <w:szCs w:val="28"/>
        </w:rPr>
        <w:t>课程设置及要求</w:t>
      </w:r>
    </w:p>
    <w:p>
      <w:pPr>
        <w:pStyle w:val="15"/>
        <w:spacing w:line="560" w:lineRule="exact"/>
        <w:ind w:left="562" w:firstLine="0" w:firstLineChars="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（一）课程结构</w:t>
      </w:r>
    </w:p>
    <w:p>
      <w:pPr>
        <w:pStyle w:val="15"/>
        <w:ind w:left="562" w:firstLine="0" w:firstLineChars="0"/>
        <w:rPr>
          <w:b/>
          <w:sz w:val="28"/>
          <w:szCs w:val="28"/>
        </w:rPr>
      </w:pPr>
      <w:r>
        <w:rPr>
          <w:b/>
          <w:color w:val="FF0000"/>
          <w:sz w:val="28"/>
          <w:szCs w:val="28"/>
        </w:rPr>
        <mc:AlternateContent>
          <mc:Choice Requires="wpg">
            <w:drawing>
              <wp:anchor distT="0" distB="0" distL="114300" distR="114300" simplePos="0" relativeHeight="251661312" behindDoc="0" locked="0" layoutInCell="1" allowOverlap="1">
                <wp:simplePos x="0" y="0"/>
                <wp:positionH relativeFrom="column">
                  <wp:posOffset>1066165</wp:posOffset>
                </wp:positionH>
                <wp:positionV relativeFrom="paragraph">
                  <wp:posOffset>3270885</wp:posOffset>
                </wp:positionV>
                <wp:extent cx="1496060" cy="998220"/>
                <wp:effectExtent l="12700" t="12700" r="15240" b="17780"/>
                <wp:wrapNone/>
                <wp:docPr id="5" name="组合 5"/>
                <wp:cNvGraphicFramePr/>
                <a:graphic xmlns:a="http://schemas.openxmlformats.org/drawingml/2006/main">
                  <a:graphicData uri="http://schemas.microsoft.com/office/word/2010/wordprocessingGroup">
                    <wpg:wgp>
                      <wpg:cNvGrpSpPr/>
                      <wpg:grpSpPr>
                        <a:xfrm>
                          <a:off x="0" y="0"/>
                          <a:ext cx="1496060" cy="998220"/>
                          <a:chOff x="0" y="0"/>
                          <a:chExt cx="1508111" cy="994100"/>
                        </a:xfrm>
                      </wpg:grpSpPr>
                      <wps:wsp>
                        <wps:cNvPr id="4" name="矩形 4"/>
                        <wps:cNvSpPr/>
                        <wps:spPr>
                          <a:xfrm>
                            <a:off x="0" y="0"/>
                            <a:ext cx="1508111" cy="994100"/>
                          </a:xfrm>
                          <a:prstGeom prst="rect">
                            <a:avLst/>
                          </a:prstGeom>
                          <a:solidFill>
                            <a:schemeClr val="bg1"/>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7" name="文本框 2"/>
                        <wps:cNvSpPr txBox="1">
                          <a:spLocks noChangeArrowheads="1"/>
                        </wps:cNvSpPr>
                        <wps:spPr bwMode="auto">
                          <a:xfrm>
                            <a:off x="100117" y="333723"/>
                            <a:ext cx="1394961" cy="353746"/>
                          </a:xfrm>
                          <a:prstGeom prst="rect">
                            <a:avLst/>
                          </a:prstGeom>
                          <a:noFill/>
                          <a:ln w="9525">
                            <a:noFill/>
                            <a:miter lim="800000"/>
                          </a:ln>
                        </wps:spPr>
                        <wps:txbx>
                          <w:txbxContent>
                            <w:p>
                              <w:pPr>
                                <w:rPr>
                                  <w:rFonts w:ascii="黑体" w:hAnsi="黑体" w:eastAsia="黑体"/>
                                  <w:bCs/>
                                  <w:sz w:val="24"/>
                                  <w:szCs w:val="24"/>
                                </w:rPr>
                              </w:pPr>
                              <w:r>
                                <w:rPr>
                                  <w:rFonts w:hint="eastAsia" w:ascii="黑体" w:hAnsi="黑体" w:eastAsia="黑体"/>
                                  <w:bCs/>
                                  <w:sz w:val="24"/>
                                  <w:szCs w:val="24"/>
                                </w:rPr>
                                <w:t xml:space="preserve">思 </w:t>
                              </w:r>
                              <w:r>
                                <w:rPr>
                                  <w:rFonts w:ascii="黑体" w:hAnsi="黑体" w:eastAsia="黑体"/>
                                  <w:bCs/>
                                  <w:sz w:val="24"/>
                                  <w:szCs w:val="24"/>
                                </w:rPr>
                                <w:t xml:space="preserve"> </w:t>
                              </w:r>
                              <w:r>
                                <w:rPr>
                                  <w:rFonts w:hint="eastAsia" w:ascii="黑体" w:hAnsi="黑体" w:eastAsia="黑体"/>
                                  <w:bCs/>
                                  <w:sz w:val="24"/>
                                  <w:szCs w:val="24"/>
                                </w:rPr>
                                <w:t xml:space="preserve">想 </w:t>
                              </w:r>
                              <w:r>
                                <w:rPr>
                                  <w:rFonts w:ascii="黑体" w:hAnsi="黑体" w:eastAsia="黑体"/>
                                  <w:bCs/>
                                  <w:sz w:val="24"/>
                                  <w:szCs w:val="24"/>
                                </w:rPr>
                                <w:t xml:space="preserve"> </w:t>
                              </w:r>
                              <w:r>
                                <w:rPr>
                                  <w:rFonts w:hint="eastAsia" w:ascii="黑体" w:hAnsi="黑体" w:eastAsia="黑体"/>
                                  <w:bCs/>
                                  <w:sz w:val="24"/>
                                  <w:szCs w:val="24"/>
                                </w:rPr>
                                <w:t>政</w:t>
                              </w:r>
                              <w:r>
                                <w:rPr>
                                  <w:rFonts w:ascii="黑体" w:hAnsi="黑体" w:eastAsia="黑体"/>
                                  <w:bCs/>
                                  <w:sz w:val="24"/>
                                  <w:szCs w:val="24"/>
                                </w:rPr>
                                <w:t xml:space="preserve">  </w:t>
                              </w:r>
                              <w:r>
                                <w:rPr>
                                  <w:rFonts w:hint="eastAsia" w:ascii="黑体" w:hAnsi="黑体" w:eastAsia="黑体"/>
                                  <w:bCs/>
                                  <w:sz w:val="24"/>
                                  <w:szCs w:val="24"/>
                                </w:rPr>
                                <w:t>治</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83.95pt;margin-top:257.55pt;height:78.6pt;width:117.8pt;z-index:251661312;mso-width-relative:page;mso-height-relative:page;" coordsize="1508111,994100" o:gfxdata="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CtYr3J2wAAAAsBAAAPAAAAAAAAAAEAIAAAACIAAABk&#10;cnMvZG93bnJldi54bWxQSwECFAAUAAAACACHTuJAYLYEapIDAACcCAAADgAAAAAAAAABACAAAAAq&#10;AQAAZHJzL2Uyb0RvYy54bWxQSwUGAAAAAAYABgBZAQAALgcAAAAA&#10;">
                <o:lock v:ext="edit" aspectratio="f"/>
                <v:rect id="_x0000_s1026" o:spid="_x0000_s1026" o:spt="1" style="position:absolute;left:0;top:0;height:994100;width:1508111;v-text-anchor:middle;" fillcolor="#FFFFFF [3212]" filled="t" stroked="t" coordsize="21600,21600" o:gfxdata="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KgEMLgAAADaAAAA&#10;DwAAAAAAAAABACAAAAAiAAAAZHJzL2Rvd25yZXYueG1sUEsBAhQAFAAAAAgAh07iQDMvBZ47AAAA&#10;OQAAABAAAAAAAAAAAQAgAAAABwEAAGRycy9zaGFwZXhtbC54bWxQSwUGAAAAAAYABgBbAQAAsQMA&#10;AAAA&#10;">
                  <v:fill on="t" focussize="0,0"/>
                  <v:stroke weight="2pt" color="#93CDDD [1944]" joinstyle="round"/>
                  <v:imagedata o:title=""/>
                  <o:lock v:ext="edit" aspectratio="f"/>
                </v:rect>
                <v:shape id="文本框 2" o:spid="_x0000_s1026" o:spt="202" type="#_x0000_t202" style="position:absolute;left:100117;top:333723;height:353746;width:1394961;"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rPr>
                            <w:rFonts w:ascii="黑体" w:hAnsi="黑体" w:eastAsia="黑体"/>
                            <w:bCs/>
                            <w:sz w:val="24"/>
                            <w:szCs w:val="24"/>
                          </w:rPr>
                        </w:pPr>
                        <w:r>
                          <w:rPr>
                            <w:rFonts w:hint="eastAsia" w:ascii="黑体" w:hAnsi="黑体" w:eastAsia="黑体"/>
                            <w:bCs/>
                            <w:sz w:val="24"/>
                            <w:szCs w:val="24"/>
                          </w:rPr>
                          <w:t xml:space="preserve">思 </w:t>
                        </w:r>
                        <w:r>
                          <w:rPr>
                            <w:rFonts w:ascii="黑体" w:hAnsi="黑体" w:eastAsia="黑体"/>
                            <w:bCs/>
                            <w:sz w:val="24"/>
                            <w:szCs w:val="24"/>
                          </w:rPr>
                          <w:t xml:space="preserve"> </w:t>
                        </w:r>
                        <w:r>
                          <w:rPr>
                            <w:rFonts w:hint="eastAsia" w:ascii="黑体" w:hAnsi="黑体" w:eastAsia="黑体"/>
                            <w:bCs/>
                            <w:sz w:val="24"/>
                            <w:szCs w:val="24"/>
                          </w:rPr>
                          <w:t xml:space="preserve">想 </w:t>
                        </w:r>
                        <w:r>
                          <w:rPr>
                            <w:rFonts w:ascii="黑体" w:hAnsi="黑体" w:eastAsia="黑体"/>
                            <w:bCs/>
                            <w:sz w:val="24"/>
                            <w:szCs w:val="24"/>
                          </w:rPr>
                          <w:t xml:space="preserve"> </w:t>
                        </w:r>
                        <w:r>
                          <w:rPr>
                            <w:rFonts w:hint="eastAsia" w:ascii="黑体" w:hAnsi="黑体" w:eastAsia="黑体"/>
                            <w:bCs/>
                            <w:sz w:val="24"/>
                            <w:szCs w:val="24"/>
                          </w:rPr>
                          <w:t>政</w:t>
                        </w:r>
                        <w:r>
                          <w:rPr>
                            <w:rFonts w:ascii="黑体" w:hAnsi="黑体" w:eastAsia="黑体"/>
                            <w:bCs/>
                            <w:sz w:val="24"/>
                            <w:szCs w:val="24"/>
                          </w:rPr>
                          <w:t xml:space="preserve">  </w:t>
                        </w:r>
                        <w:r>
                          <w:rPr>
                            <w:rFonts w:hint="eastAsia" w:ascii="黑体" w:hAnsi="黑体" w:eastAsia="黑体"/>
                            <w:bCs/>
                            <w:sz w:val="24"/>
                            <w:szCs w:val="24"/>
                          </w:rPr>
                          <w:t>治</w:t>
                        </w:r>
                      </w:p>
                    </w:txbxContent>
                  </v:textbox>
                </v:shape>
              </v:group>
            </w:pict>
          </mc:Fallback>
        </mc:AlternateContent>
      </w:r>
      <w:r>
        <w:rPr>
          <w:b/>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3147060</wp:posOffset>
                </wp:positionH>
                <wp:positionV relativeFrom="paragraph">
                  <wp:posOffset>684530</wp:posOffset>
                </wp:positionV>
                <wp:extent cx="1115060" cy="1276350"/>
                <wp:effectExtent l="0" t="0" r="27940" b="19685"/>
                <wp:wrapNone/>
                <wp:docPr id="3" name="椭圆 3"/>
                <wp:cNvGraphicFramePr/>
                <a:graphic xmlns:a="http://schemas.openxmlformats.org/drawingml/2006/main">
                  <a:graphicData uri="http://schemas.microsoft.com/office/word/2010/wordprocessingShape">
                    <wps:wsp>
                      <wps:cNvSpPr/>
                      <wps:spPr>
                        <a:xfrm>
                          <a:off x="0" y="0"/>
                          <a:ext cx="1115367" cy="1276141"/>
                        </a:xfrm>
                        <a:prstGeom prst="ellipse">
                          <a:avLst/>
                        </a:prstGeom>
                        <a:solidFill>
                          <a:srgbClr val="FF0000">
                            <a:alpha val="0"/>
                          </a:srgb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7.8pt;margin-top:53.9pt;height:100.5pt;width:87.8pt;z-index:251660288;v-text-anchor:middle;mso-width-relative:page;mso-height-relative:page;" fillcolor="#FF0000" filled="t" stroked="t" coordsize="21600,21600" o:gfxdata="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ocygT3AAAAAsBAAAPAAAAAAAAAAEAIAAA&#10;ACIAAABkcnMvZG93bnJldi54bWxQSwECFAAUAAAACACHTuJA9K7wm3oCAAAMBQAADgAAAAAAAAAB&#10;ACAAAAArAQAAZHJzL2Uyb0RvYy54bWxQSwUGAAAAAAYABgBZAQAAFwYAAAAA&#10;">
                <v:fill on="t" opacity="0f" focussize="0,0"/>
                <v:stroke weight="2pt" color="#FF0000" joinstyle="round"/>
                <v:imagedata o:title=""/>
                <o:lock v:ext="edit" aspectratio="f"/>
              </v:shape>
            </w:pict>
          </mc:Fallback>
        </mc:AlternateContent>
      </w:r>
      <w:r>
        <w:rPr>
          <w:b/>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4634230</wp:posOffset>
                </wp:positionH>
                <wp:positionV relativeFrom="paragraph">
                  <wp:posOffset>2061210</wp:posOffset>
                </wp:positionV>
                <wp:extent cx="492125" cy="874395"/>
                <wp:effectExtent l="0" t="0" r="22225" b="21590"/>
                <wp:wrapNone/>
                <wp:docPr id="2" name="椭圆 2"/>
                <wp:cNvGraphicFramePr/>
                <a:graphic xmlns:a="http://schemas.openxmlformats.org/drawingml/2006/main">
                  <a:graphicData uri="http://schemas.microsoft.com/office/word/2010/wordprocessingShape">
                    <wps:wsp>
                      <wps:cNvSpPr/>
                      <wps:spPr>
                        <a:xfrm>
                          <a:off x="0" y="0"/>
                          <a:ext cx="492369" cy="874206"/>
                        </a:xfrm>
                        <a:prstGeom prst="ellipse">
                          <a:avLst/>
                        </a:prstGeom>
                        <a:solidFill>
                          <a:srgbClr val="FF0000">
                            <a:alpha val="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4.9pt;margin-top:162.3pt;height:68.85pt;width:38.75pt;z-index:251659264;v-text-anchor:middle;mso-width-relative:page;mso-height-relative:page;" fillcolor="#FF0000" filled="t" stroked="t" coordsize="21600,21600" o:gfxdata="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V9LEe3AAAAAsBAAAPAAAAAAAAAAEAIAAAACIAAABkcnMv&#10;ZG93bnJldi54bWxQSwECFAAUAAAACACHTuJAalwFfHECAAD8BAAADgAAAAAAAAABACAAAAArAQAA&#10;ZHJzL2Uyb0RvYy54bWxQSwUGAAAAAAYABgBZAQAADgYAAAAA&#10;">
                <v:fill on="t" opacity="0f" focussize="0,0"/>
                <v:stroke weight="2pt" color="#FF0000 [3204]" joinstyle="round"/>
                <v:imagedata o:title=""/>
                <o:lock v:ext="edit" aspectratio="f"/>
              </v:shape>
            </w:pict>
          </mc:Fallback>
        </mc:AlternateContent>
      </w:r>
      <w:r>
        <w:rPr>
          <w:b/>
          <w:sz w:val="28"/>
          <w:szCs w:val="28"/>
        </w:rPr>
        <w:drawing>
          <wp:inline distT="0" distB="0" distL="0" distR="0">
            <wp:extent cx="5274310" cy="43281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274310" cy="4328671"/>
                    </a:xfrm>
                    <a:prstGeom prst="rect">
                      <a:avLst/>
                    </a:prstGeom>
                    <a:noFill/>
                    <a:ln w="9525">
                      <a:noFill/>
                      <a:miter lim="800000"/>
                      <a:headEnd/>
                      <a:tailEnd/>
                    </a:ln>
                  </pic:spPr>
                </pic:pic>
              </a:graphicData>
            </a:graphic>
          </wp:inline>
        </w:drawing>
      </w:r>
    </w:p>
    <w:p>
      <w:pPr>
        <w:ind w:firstLine="560" w:firstLineChars="200"/>
        <w:rPr>
          <w:sz w:val="28"/>
          <w:szCs w:val="28"/>
        </w:rPr>
      </w:pPr>
      <w:r>
        <w:rPr>
          <w:rFonts w:hint="eastAsia"/>
          <w:sz w:val="28"/>
          <w:szCs w:val="28"/>
        </w:rPr>
        <w:t>本专业课程设置分为公共基础课和专业技能课。</w:t>
      </w:r>
    </w:p>
    <w:p>
      <w:pPr>
        <w:ind w:firstLine="560" w:firstLineChars="200"/>
        <w:rPr>
          <w:sz w:val="28"/>
          <w:szCs w:val="28"/>
        </w:rPr>
      </w:pPr>
      <w:r>
        <w:rPr>
          <w:rFonts w:hint="eastAsia"/>
          <w:sz w:val="28"/>
          <w:szCs w:val="28"/>
        </w:rPr>
        <w:t>公共基础课包括思想政治、文化课、体育与健康、艺术、历史、以及其他自然科学和人文科学类基础课。</w:t>
      </w:r>
    </w:p>
    <w:p>
      <w:pPr>
        <w:ind w:firstLine="540"/>
        <w:rPr>
          <w:sz w:val="28"/>
          <w:szCs w:val="28"/>
        </w:rPr>
      </w:pPr>
      <w:r>
        <w:rPr>
          <w:rFonts w:hint="eastAsia"/>
          <w:sz w:val="28"/>
          <w:szCs w:val="28"/>
        </w:rPr>
        <w:t>专业技能课包括专业核心课、专业（技能）方向课和专业选修课，实习实训是专业技能课教学的重要内容，含校内外实训、定岗实习等多种形式。</w:t>
      </w:r>
    </w:p>
    <w:p>
      <w:pPr>
        <w:pStyle w:val="15"/>
        <w:numPr>
          <w:ilvl w:val="0"/>
          <w:numId w:val="3"/>
        </w:numPr>
        <w:ind w:firstLineChars="0"/>
        <w:rPr>
          <w:b/>
          <w:sz w:val="28"/>
          <w:szCs w:val="28"/>
        </w:rPr>
      </w:pPr>
      <w:r>
        <w:rPr>
          <w:rFonts w:hint="eastAsia"/>
          <w:b/>
          <w:sz w:val="28"/>
          <w:szCs w:val="28"/>
        </w:rPr>
        <w:t>公共基础课</w:t>
      </w:r>
    </w:p>
    <w:tbl>
      <w:tblPr>
        <w:tblStyle w:val="10"/>
        <w:tblW w:w="907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9"/>
        <w:gridCol w:w="2239"/>
        <w:gridCol w:w="5103"/>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tcPr>
          <w:p>
            <w:pPr>
              <w:jc w:val="center"/>
              <w:rPr>
                <w:sz w:val="28"/>
                <w:szCs w:val="28"/>
              </w:rPr>
            </w:pPr>
            <w:r>
              <w:rPr>
                <w:rFonts w:hint="eastAsia"/>
                <w:sz w:val="28"/>
                <w:szCs w:val="28"/>
              </w:rPr>
              <w:t>序号</w:t>
            </w:r>
          </w:p>
        </w:tc>
        <w:tc>
          <w:tcPr>
            <w:tcW w:w="2239" w:type="dxa"/>
          </w:tcPr>
          <w:p>
            <w:pPr>
              <w:jc w:val="center"/>
              <w:rPr>
                <w:sz w:val="28"/>
                <w:szCs w:val="28"/>
              </w:rPr>
            </w:pPr>
            <w:r>
              <w:rPr>
                <w:rFonts w:hint="eastAsia"/>
                <w:sz w:val="28"/>
                <w:szCs w:val="28"/>
              </w:rPr>
              <w:t>课程名称</w:t>
            </w:r>
          </w:p>
        </w:tc>
        <w:tc>
          <w:tcPr>
            <w:tcW w:w="5103" w:type="dxa"/>
          </w:tcPr>
          <w:p>
            <w:pPr>
              <w:jc w:val="center"/>
              <w:rPr>
                <w:sz w:val="28"/>
                <w:szCs w:val="28"/>
              </w:rPr>
            </w:pPr>
            <w:r>
              <w:rPr>
                <w:rFonts w:hint="eastAsia"/>
                <w:sz w:val="28"/>
                <w:szCs w:val="28"/>
              </w:rPr>
              <w:t>主要教学内容和要求</w:t>
            </w:r>
          </w:p>
        </w:tc>
        <w:tc>
          <w:tcPr>
            <w:tcW w:w="992" w:type="dxa"/>
          </w:tcPr>
          <w:p>
            <w:pPr>
              <w:jc w:val="center"/>
              <w:rPr>
                <w:sz w:val="28"/>
                <w:szCs w:val="28"/>
              </w:rPr>
            </w:pPr>
            <w:r>
              <w:rPr>
                <w:rFonts w:hint="eastAsia"/>
                <w:sz w:val="28"/>
                <w:szCs w:val="28"/>
              </w:rPr>
              <w:t>参考</w:t>
            </w:r>
          </w:p>
          <w:p>
            <w:pPr>
              <w:jc w:val="center"/>
              <w:rPr>
                <w:sz w:val="28"/>
                <w:szCs w:val="28"/>
              </w:rPr>
            </w:pPr>
            <w:r>
              <w:rPr>
                <w:rFonts w:hint="eastAsia"/>
                <w:sz w:val="28"/>
                <w:szCs w:val="28"/>
              </w:rPr>
              <w:t>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3" w:hRule="atLeast"/>
        </w:trPr>
        <w:tc>
          <w:tcPr>
            <w:tcW w:w="739" w:type="dxa"/>
          </w:tcPr>
          <w:p>
            <w:pPr>
              <w:jc w:val="center"/>
              <w:rPr>
                <w:sz w:val="24"/>
                <w:szCs w:val="24"/>
              </w:rPr>
            </w:pPr>
            <w:r>
              <w:rPr>
                <w:rFonts w:hint="eastAsia"/>
                <w:sz w:val="24"/>
                <w:szCs w:val="24"/>
              </w:rPr>
              <w:t>1</w:t>
            </w:r>
          </w:p>
          <w:p>
            <w:pPr>
              <w:jc w:val="center"/>
              <w:rPr>
                <w:sz w:val="24"/>
                <w:szCs w:val="24"/>
              </w:rPr>
            </w:pPr>
          </w:p>
        </w:tc>
        <w:tc>
          <w:tcPr>
            <w:tcW w:w="2239" w:type="dxa"/>
          </w:tcPr>
          <w:p>
            <w:pPr>
              <w:jc w:val="center"/>
              <w:rPr>
                <w:sz w:val="24"/>
                <w:szCs w:val="24"/>
              </w:rPr>
            </w:pPr>
          </w:p>
          <w:p>
            <w:pPr>
              <w:jc w:val="center"/>
              <w:rPr>
                <w:sz w:val="24"/>
                <w:szCs w:val="24"/>
              </w:rPr>
            </w:pPr>
            <w:r>
              <w:rPr>
                <w:rFonts w:hint="eastAsia"/>
                <w:sz w:val="24"/>
                <w:szCs w:val="24"/>
              </w:rPr>
              <w:t>思想政治</w:t>
            </w:r>
          </w:p>
          <w:p>
            <w:pPr>
              <w:jc w:val="center"/>
              <w:rPr>
                <w:sz w:val="24"/>
                <w:szCs w:val="24"/>
              </w:rPr>
            </w:pPr>
          </w:p>
        </w:tc>
        <w:tc>
          <w:tcPr>
            <w:tcW w:w="5103" w:type="dxa"/>
          </w:tcPr>
          <w:p>
            <w:pPr>
              <w:ind w:firstLine="210" w:firstLineChars="100"/>
              <w:rPr>
                <w:rFonts w:ascii="华文楷体" w:hAnsi="华文楷体" w:eastAsia="华文楷体"/>
                <w:szCs w:val="21"/>
              </w:rPr>
            </w:pPr>
            <w:bookmarkStart w:id="0" w:name="_GoBack"/>
            <w:r>
              <w:rPr>
                <w:rFonts w:hint="eastAsia" w:ascii="华文楷体" w:hAnsi="华文楷体" w:eastAsia="华文楷体"/>
                <w:szCs w:val="21"/>
              </w:rPr>
              <w:t>依据《中等职业学校德育课课程教学大纲》开设职业生涯规划、职业道德与法律、经济政治与社会、哲学与人生、四门必修课程及心理健康选修课程，并在《中等职业学校思想政治课程标准》的指导下，以培育思想政治学科政治认同、职业精神、法治意识、健全人格和公共参与五个核心素养为主导，帮助学生确立正确的政治方向，坚定理想信念，厚植爱国主义情怀，提高职业道德素质、法治素养和心理健康水平，促进学生健康成长、全面发展。</w:t>
            </w:r>
            <w:bookmarkEnd w:id="0"/>
          </w:p>
        </w:tc>
        <w:tc>
          <w:tcPr>
            <w:tcW w:w="992" w:type="dxa"/>
          </w:tcPr>
          <w:p>
            <w:pPr>
              <w:jc w:val="center"/>
              <w:rPr>
                <w:sz w:val="24"/>
                <w:szCs w:val="24"/>
              </w:rPr>
            </w:pPr>
          </w:p>
          <w:p>
            <w:pPr>
              <w:jc w:val="center"/>
              <w:rPr>
                <w:sz w:val="24"/>
                <w:szCs w:val="24"/>
              </w:rPr>
            </w:pPr>
            <w:r>
              <w:rPr>
                <w:sz w:val="24"/>
                <w:szCs w:val="24"/>
              </w:rPr>
              <w:t>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tcPr>
          <w:p>
            <w:pPr>
              <w:jc w:val="center"/>
              <w:rPr>
                <w:sz w:val="24"/>
                <w:szCs w:val="24"/>
              </w:rPr>
            </w:pPr>
            <w:r>
              <w:rPr>
                <w:rFonts w:hint="eastAsia"/>
                <w:sz w:val="24"/>
                <w:szCs w:val="24"/>
              </w:rPr>
              <w:t>5</w:t>
            </w:r>
          </w:p>
        </w:tc>
        <w:tc>
          <w:tcPr>
            <w:tcW w:w="2239" w:type="dxa"/>
          </w:tcPr>
          <w:p>
            <w:pPr>
              <w:jc w:val="center"/>
              <w:rPr>
                <w:sz w:val="24"/>
                <w:szCs w:val="24"/>
              </w:rPr>
            </w:pPr>
            <w:r>
              <w:rPr>
                <w:rFonts w:hint="eastAsia"/>
                <w:sz w:val="24"/>
                <w:szCs w:val="24"/>
              </w:rPr>
              <w:t>语 文</w:t>
            </w:r>
          </w:p>
        </w:tc>
        <w:tc>
          <w:tcPr>
            <w:tcW w:w="5103" w:type="dxa"/>
          </w:tcPr>
          <w:p>
            <w:pPr>
              <w:ind w:firstLine="210" w:firstLineChars="100"/>
              <w:rPr>
                <w:szCs w:val="21"/>
              </w:rPr>
            </w:pPr>
            <w:r>
              <w:rPr>
                <w:rFonts w:hint="eastAsia" w:ascii="华文楷体" w:hAnsi="华文楷体" w:eastAsia="华文楷体"/>
                <w:szCs w:val="21"/>
              </w:rPr>
              <w:t>本学科在初中语文的基础上，着力于语文基本的字、词、句、篇的理解，进一步巩固和扩展学生必需的语文基础知识；进一步提高学生现代文阅读和写作能力，提高以听说为主的口语交际和财经专业应用文体的书写能力；培养发现问题、解决问题的能力，为提高学生综合职业能力和适应职业变化的能力奠定基础。在教学过程中，引导学生接受优秀文化的熏陶，培养高尚的审美情趣，树立爱国主义、集体主义情怀，发展个性特长，形成健全人格。</w:t>
            </w:r>
          </w:p>
        </w:tc>
        <w:tc>
          <w:tcPr>
            <w:tcW w:w="992" w:type="dxa"/>
          </w:tcPr>
          <w:p>
            <w:pPr>
              <w:jc w:val="center"/>
              <w:rPr>
                <w:sz w:val="24"/>
                <w:szCs w:val="24"/>
              </w:rPr>
            </w:pPr>
            <w:r>
              <w:rPr>
                <w:rFonts w:hint="eastAsia"/>
                <w:sz w:val="24"/>
                <w:szCs w:val="24"/>
              </w:rPr>
              <w:t>216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tcPr>
          <w:p>
            <w:pPr>
              <w:jc w:val="center"/>
              <w:rPr>
                <w:sz w:val="24"/>
                <w:szCs w:val="24"/>
              </w:rPr>
            </w:pPr>
            <w:r>
              <w:rPr>
                <w:rFonts w:hint="eastAsia"/>
                <w:sz w:val="24"/>
                <w:szCs w:val="24"/>
              </w:rPr>
              <w:t>6</w:t>
            </w:r>
          </w:p>
        </w:tc>
        <w:tc>
          <w:tcPr>
            <w:tcW w:w="2239" w:type="dxa"/>
          </w:tcPr>
          <w:p>
            <w:pPr>
              <w:jc w:val="center"/>
              <w:rPr>
                <w:sz w:val="24"/>
                <w:szCs w:val="24"/>
              </w:rPr>
            </w:pPr>
            <w:r>
              <w:rPr>
                <w:rFonts w:hint="eastAsia"/>
                <w:sz w:val="24"/>
                <w:szCs w:val="24"/>
              </w:rPr>
              <w:t>数 学</w:t>
            </w:r>
          </w:p>
        </w:tc>
        <w:tc>
          <w:tcPr>
            <w:tcW w:w="5103" w:type="dxa"/>
          </w:tcPr>
          <w:p>
            <w:pPr>
              <w:ind w:firstLine="210" w:firstLineChars="100"/>
              <w:rPr>
                <w:szCs w:val="21"/>
              </w:rPr>
            </w:pPr>
            <w:r>
              <w:rPr>
                <w:rFonts w:hint="eastAsia" w:ascii="华文楷体" w:hAnsi="华文楷体" w:eastAsia="华文楷体"/>
                <w:szCs w:val="21"/>
              </w:rPr>
              <w:t>本学科在初中数学的基础上，进一步巩固和扩展学生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992" w:type="dxa"/>
          </w:tcPr>
          <w:p>
            <w:pPr>
              <w:jc w:val="center"/>
              <w:rPr>
                <w:sz w:val="24"/>
                <w:szCs w:val="24"/>
              </w:rPr>
            </w:pPr>
            <w:r>
              <w:rPr>
                <w:rFonts w:hint="eastAsia"/>
                <w:sz w:val="24"/>
                <w:szCs w:val="24"/>
              </w:rPr>
              <w:t>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tcPr>
          <w:p>
            <w:pPr>
              <w:jc w:val="center"/>
              <w:rPr>
                <w:sz w:val="24"/>
                <w:szCs w:val="24"/>
              </w:rPr>
            </w:pPr>
            <w:r>
              <w:rPr>
                <w:rFonts w:hint="eastAsia"/>
                <w:sz w:val="24"/>
                <w:szCs w:val="24"/>
              </w:rPr>
              <w:t>7</w:t>
            </w:r>
          </w:p>
        </w:tc>
        <w:tc>
          <w:tcPr>
            <w:tcW w:w="2239" w:type="dxa"/>
          </w:tcPr>
          <w:p>
            <w:pPr>
              <w:jc w:val="center"/>
              <w:rPr>
                <w:sz w:val="24"/>
                <w:szCs w:val="24"/>
              </w:rPr>
            </w:pPr>
            <w:r>
              <w:rPr>
                <w:rFonts w:hint="eastAsia"/>
                <w:sz w:val="24"/>
                <w:szCs w:val="24"/>
              </w:rPr>
              <w:t>英 语</w:t>
            </w:r>
          </w:p>
        </w:tc>
        <w:tc>
          <w:tcPr>
            <w:tcW w:w="5103" w:type="dxa"/>
          </w:tcPr>
          <w:p>
            <w:pPr>
              <w:ind w:firstLine="210" w:firstLineChars="100"/>
              <w:rPr>
                <w:szCs w:val="21"/>
              </w:rPr>
            </w:pPr>
            <w:r>
              <w:rPr>
                <w:rFonts w:hint="eastAsia" w:ascii="华文楷体" w:hAnsi="华文楷体" w:eastAsia="华文楷体"/>
                <w:szCs w:val="21"/>
              </w:rPr>
              <w:t>在初中英语教学的基础上，使学生巩固、扩大基础知识，重点培养听、说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提升国际视野；认识常见的物品、部门和顾客沟通的英文表述法。</w:t>
            </w:r>
          </w:p>
        </w:tc>
        <w:tc>
          <w:tcPr>
            <w:tcW w:w="992" w:type="dxa"/>
          </w:tcPr>
          <w:p>
            <w:pPr>
              <w:jc w:val="center"/>
              <w:rPr>
                <w:sz w:val="24"/>
                <w:szCs w:val="24"/>
              </w:rPr>
            </w:pPr>
            <w:r>
              <w:rPr>
                <w:sz w:val="24"/>
                <w:szCs w:val="24"/>
              </w:rPr>
              <w:t>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tcPr>
          <w:p>
            <w:pPr>
              <w:jc w:val="center"/>
              <w:rPr>
                <w:sz w:val="24"/>
                <w:szCs w:val="24"/>
              </w:rPr>
            </w:pPr>
            <w:r>
              <w:rPr>
                <w:rFonts w:hint="eastAsia"/>
                <w:sz w:val="24"/>
                <w:szCs w:val="24"/>
              </w:rPr>
              <w:t>8</w:t>
            </w:r>
          </w:p>
        </w:tc>
        <w:tc>
          <w:tcPr>
            <w:tcW w:w="2239" w:type="dxa"/>
          </w:tcPr>
          <w:p>
            <w:pPr>
              <w:jc w:val="center"/>
              <w:rPr>
                <w:sz w:val="24"/>
                <w:szCs w:val="24"/>
              </w:rPr>
            </w:pPr>
            <w:r>
              <w:rPr>
                <w:rFonts w:hint="eastAsia"/>
                <w:sz w:val="24"/>
                <w:szCs w:val="24"/>
              </w:rPr>
              <w:t>计算机应用基础</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本课程学习计算机的基础知识、常用操作系统、汉字输入、常用办公软件、常用多媒体技术、计算机网络的基本应用、计算机安全及日常维护等技能。使学生掌握计算机基础知识，掌握Windows操作系统的基本操作及常用多媒体技术，会计算机网络的简单应用及计算机的日常维护，熟练掌握五笔字型等汉字输入技能及常用办公软件的使用。培养学习计算机知识和技能的兴趣，培养正确使用计算机的能力，树立良好的计算机安全意识，为以后的学习和工作打下基础。</w:t>
            </w:r>
          </w:p>
        </w:tc>
        <w:tc>
          <w:tcPr>
            <w:tcW w:w="992" w:type="dxa"/>
          </w:tcPr>
          <w:p>
            <w:pPr>
              <w:jc w:val="center"/>
              <w:rPr>
                <w:sz w:val="24"/>
                <w:szCs w:val="24"/>
              </w:rPr>
            </w:pPr>
            <w:r>
              <w:rPr>
                <w:sz w:val="24"/>
                <w:szCs w:val="24"/>
              </w:rPr>
              <w:t>108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tcPr>
          <w:p>
            <w:pPr>
              <w:jc w:val="center"/>
              <w:rPr>
                <w:sz w:val="24"/>
                <w:szCs w:val="24"/>
              </w:rPr>
            </w:pPr>
            <w:r>
              <w:rPr>
                <w:rFonts w:hint="eastAsia"/>
                <w:sz w:val="24"/>
                <w:szCs w:val="24"/>
              </w:rPr>
              <w:t>9</w:t>
            </w:r>
          </w:p>
        </w:tc>
        <w:tc>
          <w:tcPr>
            <w:tcW w:w="2239" w:type="dxa"/>
          </w:tcPr>
          <w:p>
            <w:pPr>
              <w:jc w:val="center"/>
              <w:rPr>
                <w:sz w:val="24"/>
                <w:szCs w:val="24"/>
              </w:rPr>
            </w:pPr>
            <w:r>
              <w:rPr>
                <w:rFonts w:hint="eastAsia"/>
                <w:sz w:val="24"/>
                <w:szCs w:val="24"/>
              </w:rPr>
              <w:t>体育与健康</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992" w:type="dxa"/>
          </w:tcPr>
          <w:p>
            <w:pPr>
              <w:jc w:val="center"/>
              <w:rPr>
                <w:sz w:val="24"/>
                <w:szCs w:val="24"/>
              </w:rPr>
            </w:pPr>
            <w:r>
              <w:rPr>
                <w:sz w:val="24"/>
                <w:szCs w:val="24"/>
              </w:rPr>
              <w:t>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tcPr>
          <w:p>
            <w:pPr>
              <w:jc w:val="center"/>
              <w:rPr>
                <w:sz w:val="24"/>
                <w:szCs w:val="24"/>
              </w:rPr>
            </w:pPr>
            <w:r>
              <w:rPr>
                <w:rFonts w:hint="eastAsia"/>
                <w:sz w:val="24"/>
                <w:szCs w:val="24"/>
              </w:rPr>
              <w:t>10</w:t>
            </w:r>
          </w:p>
        </w:tc>
        <w:tc>
          <w:tcPr>
            <w:tcW w:w="2239" w:type="dxa"/>
          </w:tcPr>
          <w:p>
            <w:pPr>
              <w:jc w:val="center"/>
              <w:rPr>
                <w:sz w:val="24"/>
                <w:szCs w:val="24"/>
              </w:rPr>
            </w:pPr>
            <w:r>
              <w:rPr>
                <w:rFonts w:hint="eastAsia"/>
                <w:sz w:val="24"/>
                <w:szCs w:val="24"/>
              </w:rPr>
              <w:t xml:space="preserve">艺 </w:t>
            </w:r>
            <w:r>
              <w:rPr>
                <w:sz w:val="24"/>
                <w:szCs w:val="24"/>
              </w:rPr>
              <w:t xml:space="preserve"> </w:t>
            </w:r>
            <w:r>
              <w:rPr>
                <w:rFonts w:hint="eastAsia"/>
                <w:sz w:val="24"/>
                <w:szCs w:val="24"/>
              </w:rPr>
              <w:t>术</w:t>
            </w:r>
          </w:p>
        </w:tc>
        <w:tc>
          <w:tcPr>
            <w:tcW w:w="5103" w:type="dxa"/>
          </w:tcPr>
          <w:p>
            <w:pPr>
              <w:ind w:firstLine="210" w:firstLineChars="100"/>
              <w:rPr>
                <w:rFonts w:ascii="华文楷体" w:hAnsi="华文楷体" w:eastAsia="华文楷体"/>
                <w:szCs w:val="21"/>
              </w:rPr>
            </w:pPr>
            <w:r>
              <w:rPr>
                <w:rFonts w:ascii="华文楷体" w:hAnsi="华文楷体" w:eastAsia="华文楷体"/>
                <w:szCs w:val="21"/>
              </w:rPr>
              <w:t>本学科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992" w:type="dxa"/>
          </w:tcPr>
          <w:p>
            <w:pPr>
              <w:jc w:val="center"/>
              <w:rPr>
                <w:sz w:val="24"/>
                <w:szCs w:val="24"/>
              </w:rPr>
            </w:pPr>
            <w:r>
              <w:rPr>
                <w:rFonts w:hint="eastAsia"/>
                <w:sz w:val="24"/>
                <w:szCs w:val="24"/>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tcPr>
          <w:p>
            <w:pPr>
              <w:jc w:val="center"/>
              <w:rPr>
                <w:sz w:val="24"/>
                <w:szCs w:val="24"/>
              </w:rPr>
            </w:pPr>
            <w:r>
              <w:rPr>
                <w:rFonts w:hint="eastAsia"/>
                <w:sz w:val="24"/>
                <w:szCs w:val="24"/>
              </w:rPr>
              <w:t>11</w:t>
            </w:r>
          </w:p>
        </w:tc>
        <w:tc>
          <w:tcPr>
            <w:tcW w:w="2239" w:type="dxa"/>
          </w:tcPr>
          <w:p>
            <w:pPr>
              <w:jc w:val="center"/>
              <w:rPr>
                <w:sz w:val="24"/>
                <w:szCs w:val="24"/>
              </w:rPr>
            </w:pPr>
            <w:r>
              <w:rPr>
                <w:rFonts w:hint="eastAsia"/>
                <w:sz w:val="24"/>
                <w:szCs w:val="24"/>
              </w:rPr>
              <w:t>历史</w:t>
            </w:r>
          </w:p>
        </w:tc>
        <w:tc>
          <w:tcPr>
            <w:tcW w:w="5103" w:type="dxa"/>
            <w:vAlign w:val="center"/>
          </w:tcPr>
          <w:p>
            <w:pPr>
              <w:ind w:firstLine="210" w:firstLineChars="100"/>
              <w:rPr>
                <w:rFonts w:ascii="华文楷体" w:hAnsi="华文楷体" w:eastAsia="华文楷体"/>
                <w:szCs w:val="21"/>
              </w:rPr>
            </w:pPr>
            <w:r>
              <w:rPr>
                <w:rFonts w:hint="eastAsia" w:ascii="华文楷体" w:hAnsi="华文楷体" w:eastAsia="华文楷体"/>
                <w:szCs w:val="21"/>
              </w:rPr>
              <w:t>运用历史唯物主义观点，以社会形态从低级到高级发展为主线，展现历史演进的基本过程以及人类在历史上创造的文明成果，揭示人类历史发展的基本规律和大趋势，促进学生全面发展的一门基础课程。学生通过历史课程的学习，进一步拓展历史视野，发展历史思维，提高历史学科核心素养，能够从历史发展的角度理解并认同社会主义核心价值观和中华优秀传统文化，认识并弘扬以爱国主义为核心的民族精神和以改革创新为核心的时代精神，树立正确的世界观、人生观和价值观，为未来的学习、工作与生活打下基础。</w:t>
            </w:r>
          </w:p>
        </w:tc>
        <w:tc>
          <w:tcPr>
            <w:tcW w:w="992" w:type="dxa"/>
          </w:tcPr>
          <w:p>
            <w:pPr>
              <w:jc w:val="center"/>
              <w:rPr>
                <w:sz w:val="24"/>
                <w:szCs w:val="24"/>
              </w:rPr>
            </w:pPr>
            <w:r>
              <w:rPr>
                <w:rFonts w:hint="eastAsia"/>
                <w:sz w:val="24"/>
                <w:szCs w:val="24"/>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tcPr>
          <w:p>
            <w:pPr>
              <w:jc w:val="center"/>
              <w:rPr>
                <w:sz w:val="24"/>
                <w:szCs w:val="24"/>
              </w:rPr>
            </w:pPr>
            <w:r>
              <w:rPr>
                <w:rFonts w:hint="eastAsia"/>
                <w:sz w:val="24"/>
                <w:szCs w:val="24"/>
              </w:rPr>
              <w:t>1</w:t>
            </w:r>
            <w:r>
              <w:rPr>
                <w:sz w:val="24"/>
                <w:szCs w:val="24"/>
              </w:rPr>
              <w:t>2</w:t>
            </w:r>
          </w:p>
        </w:tc>
        <w:tc>
          <w:tcPr>
            <w:tcW w:w="2239" w:type="dxa"/>
            <w:vAlign w:val="center"/>
          </w:tcPr>
          <w:p>
            <w:pPr>
              <w:jc w:val="center"/>
              <w:rPr>
                <w:bCs/>
                <w:sz w:val="24"/>
                <w:szCs w:val="24"/>
              </w:rPr>
            </w:pPr>
            <w:r>
              <w:rPr>
                <w:rFonts w:hint="eastAsia" w:ascii="华文楷体" w:hAnsi="华文楷体" w:eastAsia="华文楷体"/>
                <w:bCs/>
                <w:sz w:val="28"/>
                <w:szCs w:val="28"/>
              </w:rPr>
              <w:t>礼 仪</w:t>
            </w:r>
          </w:p>
        </w:tc>
        <w:tc>
          <w:tcPr>
            <w:tcW w:w="5103" w:type="dxa"/>
            <w:vAlign w:val="center"/>
          </w:tcPr>
          <w:p>
            <w:pPr>
              <w:ind w:firstLine="210" w:firstLineChars="100"/>
              <w:rPr>
                <w:rFonts w:ascii="华文楷体" w:hAnsi="华文楷体" w:eastAsia="华文楷体"/>
                <w:szCs w:val="21"/>
              </w:rPr>
            </w:pPr>
            <w:r>
              <w:rPr>
                <w:rFonts w:hint="eastAsia" w:ascii="华文楷体" w:hAnsi="华文楷体" w:eastAsia="华文楷体"/>
                <w:szCs w:val="21"/>
              </w:rPr>
              <w:t>本学科通过对礼仪基本规范和要求的学习，使学生养成良好的职业道德（职业时间观念、职业态度和职业责任心），优秀的服务意识、服务态度和职业认同感，良好的团队精神与协作意识，拥有健康的心理素质，主动、自觉地注重个人形象，更好地为自己从事的工作做好必要的礼仪准备。</w:t>
            </w:r>
          </w:p>
        </w:tc>
        <w:tc>
          <w:tcPr>
            <w:tcW w:w="992" w:type="dxa"/>
            <w:vAlign w:val="center"/>
          </w:tcPr>
          <w:p>
            <w:pPr>
              <w:jc w:val="center"/>
              <w:rPr>
                <w:sz w:val="24"/>
                <w:szCs w:val="24"/>
              </w:rPr>
            </w:pPr>
            <w:r>
              <w:rPr>
                <w:rFonts w:hint="eastAsia" w:ascii="华文楷体" w:hAnsi="华文楷体" w:eastAsia="华文楷体"/>
                <w:sz w:val="28"/>
                <w:szCs w:val="28"/>
              </w:rPr>
              <w:t>3</w:t>
            </w:r>
            <w:r>
              <w:rPr>
                <w:rFonts w:ascii="华文楷体" w:hAnsi="华文楷体" w:eastAsia="华文楷体"/>
                <w:sz w:val="28"/>
                <w:szCs w:val="2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tcPr>
          <w:p>
            <w:pPr>
              <w:jc w:val="center"/>
              <w:rPr>
                <w:sz w:val="24"/>
                <w:szCs w:val="24"/>
              </w:rPr>
            </w:pPr>
            <w:r>
              <w:rPr>
                <w:rFonts w:hint="eastAsia"/>
                <w:sz w:val="24"/>
                <w:szCs w:val="24"/>
              </w:rPr>
              <w:t>1</w:t>
            </w:r>
            <w:r>
              <w:rPr>
                <w:sz w:val="24"/>
                <w:szCs w:val="24"/>
              </w:rPr>
              <w:t>3</w:t>
            </w:r>
          </w:p>
        </w:tc>
        <w:tc>
          <w:tcPr>
            <w:tcW w:w="2239" w:type="dxa"/>
            <w:vAlign w:val="center"/>
          </w:tcPr>
          <w:p>
            <w:pPr>
              <w:jc w:val="center"/>
              <w:rPr>
                <w:rFonts w:ascii="华文楷体" w:hAnsi="华文楷体" w:eastAsia="华文楷体"/>
                <w:bCs/>
                <w:sz w:val="28"/>
                <w:szCs w:val="28"/>
              </w:rPr>
            </w:pPr>
            <w:r>
              <w:rPr>
                <w:rFonts w:hint="eastAsia" w:ascii="华文楷体" w:hAnsi="华文楷体" w:eastAsia="华文楷体"/>
                <w:bCs/>
                <w:sz w:val="28"/>
                <w:szCs w:val="28"/>
              </w:rPr>
              <w:t>普通话</w:t>
            </w:r>
          </w:p>
        </w:tc>
        <w:tc>
          <w:tcPr>
            <w:tcW w:w="5103" w:type="dxa"/>
            <w:vAlign w:val="center"/>
          </w:tcPr>
          <w:p>
            <w:pPr>
              <w:ind w:firstLine="210" w:firstLineChars="100"/>
              <w:rPr>
                <w:rFonts w:ascii="华文楷体" w:hAnsi="华文楷体" w:eastAsia="华文楷体"/>
                <w:szCs w:val="21"/>
              </w:rPr>
            </w:pPr>
            <w:r>
              <w:rPr>
                <w:rFonts w:ascii="华文楷体" w:hAnsi="华文楷体" w:eastAsia="华文楷体"/>
                <w:szCs w:val="21"/>
              </w:rPr>
              <w:t>掌握普通话语音基本理论和普通话发音要领，能用标准或比较标准的普通话进行朗读和口语交际，掌握通用的普通话口语表达和行业普通话口语表达基本技能。</w:t>
            </w:r>
          </w:p>
        </w:tc>
        <w:tc>
          <w:tcPr>
            <w:tcW w:w="992" w:type="dxa"/>
            <w:vAlign w:val="center"/>
          </w:tcPr>
          <w:p>
            <w:pPr>
              <w:jc w:val="center"/>
              <w:rPr>
                <w:rFonts w:ascii="华文楷体" w:hAnsi="华文楷体" w:eastAsia="华文楷体"/>
                <w:sz w:val="28"/>
                <w:szCs w:val="28"/>
              </w:rPr>
            </w:pPr>
            <w:r>
              <w:rPr>
                <w:rFonts w:hint="eastAsia" w:ascii="华文楷体" w:hAnsi="华文楷体" w:eastAsia="华文楷体"/>
                <w:sz w:val="28"/>
                <w:szCs w:val="28"/>
              </w:rPr>
              <w:t>7</w:t>
            </w:r>
            <w:r>
              <w:rPr>
                <w:rFonts w:ascii="华文楷体" w:hAnsi="华文楷体" w:eastAsia="华文楷体"/>
                <w:sz w:val="28"/>
                <w:szCs w:val="28"/>
              </w:rPr>
              <w:t>2</w:t>
            </w:r>
          </w:p>
        </w:tc>
      </w:tr>
    </w:tbl>
    <w:p>
      <w:pPr>
        <w:pStyle w:val="15"/>
        <w:numPr>
          <w:ilvl w:val="0"/>
          <w:numId w:val="3"/>
        </w:numPr>
        <w:ind w:firstLineChars="0"/>
        <w:rPr>
          <w:b/>
          <w:sz w:val="28"/>
          <w:szCs w:val="28"/>
        </w:rPr>
      </w:pPr>
      <w:r>
        <w:rPr>
          <w:rFonts w:hint="eastAsia"/>
          <w:b/>
          <w:sz w:val="28"/>
          <w:szCs w:val="28"/>
        </w:rPr>
        <w:t>专业核心课</w:t>
      </w:r>
    </w:p>
    <w:tbl>
      <w:tblPr>
        <w:tblStyle w:val="10"/>
        <w:tblW w:w="907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
        <w:gridCol w:w="2126"/>
        <w:gridCol w:w="5103"/>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 w:type="dxa"/>
          </w:tcPr>
          <w:p>
            <w:pPr>
              <w:jc w:val="center"/>
              <w:rPr>
                <w:sz w:val="28"/>
                <w:szCs w:val="28"/>
              </w:rPr>
            </w:pPr>
            <w:r>
              <w:rPr>
                <w:rFonts w:hint="eastAsia"/>
                <w:sz w:val="28"/>
                <w:szCs w:val="28"/>
              </w:rPr>
              <w:t>序号</w:t>
            </w:r>
          </w:p>
        </w:tc>
        <w:tc>
          <w:tcPr>
            <w:tcW w:w="2126" w:type="dxa"/>
          </w:tcPr>
          <w:p>
            <w:pPr>
              <w:jc w:val="center"/>
              <w:rPr>
                <w:sz w:val="28"/>
                <w:szCs w:val="28"/>
              </w:rPr>
            </w:pPr>
            <w:r>
              <w:rPr>
                <w:rFonts w:hint="eastAsia"/>
                <w:sz w:val="28"/>
                <w:szCs w:val="28"/>
              </w:rPr>
              <w:t>课程名称</w:t>
            </w:r>
          </w:p>
        </w:tc>
        <w:tc>
          <w:tcPr>
            <w:tcW w:w="5103" w:type="dxa"/>
          </w:tcPr>
          <w:p>
            <w:pPr>
              <w:jc w:val="center"/>
              <w:rPr>
                <w:sz w:val="28"/>
                <w:szCs w:val="28"/>
              </w:rPr>
            </w:pPr>
            <w:r>
              <w:rPr>
                <w:rFonts w:hint="eastAsia"/>
                <w:sz w:val="28"/>
                <w:szCs w:val="28"/>
              </w:rPr>
              <w:t>主要教学内容和要求</w:t>
            </w:r>
          </w:p>
        </w:tc>
        <w:tc>
          <w:tcPr>
            <w:tcW w:w="992" w:type="dxa"/>
          </w:tcPr>
          <w:p>
            <w:pPr>
              <w:jc w:val="center"/>
              <w:rPr>
                <w:sz w:val="28"/>
                <w:szCs w:val="28"/>
              </w:rPr>
            </w:pPr>
            <w:r>
              <w:rPr>
                <w:rFonts w:hint="eastAsia"/>
                <w:sz w:val="28"/>
                <w:szCs w:val="28"/>
              </w:rPr>
              <w:t>参考</w:t>
            </w:r>
          </w:p>
          <w:p>
            <w:pPr>
              <w:jc w:val="center"/>
              <w:rPr>
                <w:sz w:val="28"/>
                <w:szCs w:val="28"/>
              </w:rPr>
            </w:pPr>
            <w:r>
              <w:rPr>
                <w:rFonts w:hint="eastAsia"/>
                <w:sz w:val="28"/>
                <w:szCs w:val="28"/>
              </w:rPr>
              <w:t>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1</w:t>
            </w:r>
          </w:p>
        </w:tc>
        <w:tc>
          <w:tcPr>
            <w:tcW w:w="2126" w:type="dxa"/>
          </w:tcPr>
          <w:p>
            <w:pPr>
              <w:jc w:val="center"/>
              <w:rPr>
                <w:sz w:val="24"/>
                <w:szCs w:val="24"/>
              </w:rPr>
            </w:pPr>
            <w:r>
              <w:rPr>
                <w:rFonts w:hint="eastAsia"/>
                <w:sz w:val="24"/>
                <w:szCs w:val="24"/>
              </w:rPr>
              <w:t>美容基础</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了解美容基本概念，美容生理常识，常用美容化妆品已经安全用电常识，能针对各种问题性皮肤的保养给出科学有效的指导，能够客观分析影响容貌的各种原因，具备给不同需求的顾客提供适用的美容服务于指导</w:t>
            </w:r>
          </w:p>
        </w:tc>
        <w:tc>
          <w:tcPr>
            <w:tcW w:w="992" w:type="dxa"/>
          </w:tcPr>
          <w:p>
            <w:pPr>
              <w:rPr>
                <w:sz w:val="24"/>
                <w:szCs w:val="24"/>
              </w:rPr>
            </w:pPr>
            <w:r>
              <w:rPr>
                <w:rFonts w:hint="eastAsia"/>
                <w:sz w:val="24"/>
                <w:szCs w:val="24"/>
              </w:rPr>
              <w:t>108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2</w:t>
            </w:r>
          </w:p>
        </w:tc>
        <w:tc>
          <w:tcPr>
            <w:tcW w:w="2126" w:type="dxa"/>
          </w:tcPr>
          <w:p>
            <w:pPr>
              <w:jc w:val="center"/>
              <w:rPr>
                <w:sz w:val="24"/>
                <w:szCs w:val="24"/>
              </w:rPr>
            </w:pPr>
            <w:r>
              <w:rPr>
                <w:rFonts w:hint="eastAsia"/>
                <w:sz w:val="24"/>
                <w:szCs w:val="24"/>
              </w:rPr>
              <w:t>美体基础</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了解美体的基本概念，骨骼肌肉等生理常识、常用美体产品已经用电常识能够客观分析影响体型的各种原因，具备给不同需求的顾客提供适用的美体服务与指导</w:t>
            </w:r>
          </w:p>
        </w:tc>
        <w:tc>
          <w:tcPr>
            <w:tcW w:w="992" w:type="dxa"/>
          </w:tcPr>
          <w:p>
            <w:pPr>
              <w:rPr>
                <w:sz w:val="24"/>
                <w:szCs w:val="24"/>
              </w:rPr>
            </w:pPr>
            <w:r>
              <w:rPr>
                <w:rFonts w:hint="eastAsia"/>
                <w:sz w:val="24"/>
                <w:szCs w:val="24"/>
              </w:rPr>
              <w:t>108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3</w:t>
            </w:r>
          </w:p>
        </w:tc>
        <w:tc>
          <w:tcPr>
            <w:tcW w:w="2126" w:type="dxa"/>
          </w:tcPr>
          <w:p>
            <w:pPr>
              <w:jc w:val="center"/>
              <w:rPr>
                <w:sz w:val="24"/>
                <w:szCs w:val="24"/>
              </w:rPr>
            </w:pPr>
            <w:r>
              <w:rPr>
                <w:rFonts w:hint="eastAsia"/>
                <w:sz w:val="24"/>
                <w:szCs w:val="24"/>
              </w:rPr>
              <w:t>芳香美体</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了解身体皮肤护理、修饰美容和传统中医美容护理基本知识。掌握精油基本知识，能根据需要正确选择适用单方和复方精油；掌握身体皮肤的构造、护肤品的基础知识；掌握香薰仪器的操作方法；能根据顾客需求制定芳香美体方案</w:t>
            </w:r>
          </w:p>
        </w:tc>
        <w:tc>
          <w:tcPr>
            <w:tcW w:w="992" w:type="dxa"/>
          </w:tcPr>
          <w:p>
            <w:pPr>
              <w:rPr>
                <w:sz w:val="24"/>
                <w:szCs w:val="24"/>
              </w:rPr>
            </w:pPr>
            <w:r>
              <w:rPr>
                <w:rFonts w:hint="eastAsia"/>
                <w:sz w:val="24"/>
                <w:szCs w:val="24"/>
              </w:rPr>
              <w:t>1</w:t>
            </w:r>
            <w:r>
              <w:rPr>
                <w:sz w:val="24"/>
                <w:szCs w:val="24"/>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4</w:t>
            </w:r>
          </w:p>
        </w:tc>
        <w:tc>
          <w:tcPr>
            <w:tcW w:w="2126" w:type="dxa"/>
          </w:tcPr>
          <w:p>
            <w:pPr>
              <w:jc w:val="center"/>
              <w:rPr>
                <w:sz w:val="24"/>
                <w:szCs w:val="24"/>
              </w:rPr>
            </w:pPr>
            <w:r>
              <w:rPr>
                <w:rFonts w:hint="eastAsia"/>
                <w:sz w:val="24"/>
                <w:szCs w:val="24"/>
              </w:rPr>
              <w:t>美体技术</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掌握身体皮肤的构造、护肤品的基础知识，掌握身体仪器的操作方法；会进行脱毛、烫眼睫毛、嫁接睫毛等的基本操作，能基本掌握卵巢保养、艾灸、身体火罐等的护理流程；会熟练进行身体皮肤护理操作</w:t>
            </w:r>
          </w:p>
        </w:tc>
        <w:tc>
          <w:tcPr>
            <w:tcW w:w="992" w:type="dxa"/>
          </w:tcPr>
          <w:p>
            <w:pPr>
              <w:rPr>
                <w:sz w:val="24"/>
                <w:szCs w:val="24"/>
              </w:rPr>
            </w:pPr>
            <w:r>
              <w:rPr>
                <w:rFonts w:hint="eastAsia"/>
                <w:sz w:val="24"/>
                <w:szCs w:val="24"/>
              </w:rPr>
              <w:t>1</w:t>
            </w:r>
            <w:r>
              <w:rPr>
                <w:sz w:val="24"/>
                <w:szCs w:val="24"/>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5</w:t>
            </w:r>
          </w:p>
        </w:tc>
        <w:tc>
          <w:tcPr>
            <w:tcW w:w="2126" w:type="dxa"/>
          </w:tcPr>
          <w:p>
            <w:pPr>
              <w:jc w:val="center"/>
              <w:rPr>
                <w:sz w:val="24"/>
                <w:szCs w:val="24"/>
              </w:rPr>
            </w:pPr>
            <w:r>
              <w:rPr>
                <w:rFonts w:hint="eastAsia"/>
                <w:sz w:val="24"/>
                <w:szCs w:val="24"/>
              </w:rPr>
              <w:t>美术与设计</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了解点、线、面的素描基础运用，能完成球形、四边形等素描图；掌握色彩的基础知识，能完成色环的制作；根据专业特点完成时装画、发型画的设计</w:t>
            </w:r>
          </w:p>
        </w:tc>
        <w:tc>
          <w:tcPr>
            <w:tcW w:w="992" w:type="dxa"/>
          </w:tcPr>
          <w:p>
            <w:pPr>
              <w:rPr>
                <w:sz w:val="24"/>
                <w:szCs w:val="24"/>
              </w:rPr>
            </w:pPr>
            <w:r>
              <w:rPr>
                <w:rFonts w:hint="eastAsia"/>
                <w:sz w:val="24"/>
                <w:szCs w:val="24"/>
              </w:rPr>
              <w:t>108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6</w:t>
            </w:r>
          </w:p>
        </w:tc>
        <w:tc>
          <w:tcPr>
            <w:tcW w:w="2126" w:type="dxa"/>
          </w:tcPr>
          <w:p>
            <w:pPr>
              <w:jc w:val="center"/>
              <w:rPr>
                <w:sz w:val="24"/>
                <w:szCs w:val="24"/>
              </w:rPr>
            </w:pPr>
            <w:r>
              <w:rPr>
                <w:rFonts w:hint="eastAsia"/>
                <w:sz w:val="24"/>
                <w:szCs w:val="24"/>
              </w:rPr>
              <w:t>化妆基础</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了解化妆基本概念，掌握面部骨骼与肌肉结构，熟练掌握化妆用品、用具，掌握美容化妆的基本步骤及技巧。掌握日妆、晚妆特点，掌握局部矫形技巧并能进行形象造型</w:t>
            </w:r>
          </w:p>
        </w:tc>
        <w:tc>
          <w:tcPr>
            <w:tcW w:w="992" w:type="dxa"/>
          </w:tcPr>
          <w:p>
            <w:pPr>
              <w:rPr>
                <w:sz w:val="24"/>
                <w:szCs w:val="24"/>
              </w:rPr>
            </w:pPr>
            <w:r>
              <w:rPr>
                <w:rFonts w:hint="eastAsia"/>
                <w:sz w:val="24"/>
                <w:szCs w:val="24"/>
              </w:rPr>
              <w:t>1</w:t>
            </w:r>
            <w:r>
              <w:rPr>
                <w:sz w:val="24"/>
                <w:szCs w:val="24"/>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7</w:t>
            </w:r>
          </w:p>
        </w:tc>
        <w:tc>
          <w:tcPr>
            <w:tcW w:w="2126" w:type="dxa"/>
          </w:tcPr>
          <w:p>
            <w:pPr>
              <w:jc w:val="center"/>
              <w:rPr>
                <w:sz w:val="24"/>
                <w:szCs w:val="24"/>
              </w:rPr>
            </w:pPr>
            <w:r>
              <w:rPr>
                <w:rFonts w:hint="eastAsia"/>
                <w:sz w:val="24"/>
                <w:szCs w:val="24"/>
              </w:rPr>
              <w:t>化妆造型设计</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在化妆基础上融入盘束发技巧、服饰与造型让学生在化妆训练中融入整体形象设计概念，并通过训练独立完成新娘化妆造型、晚宴化妆、主题创意造型等，并根据顾客条件和要求作出适合的化妆造型</w:t>
            </w:r>
          </w:p>
        </w:tc>
        <w:tc>
          <w:tcPr>
            <w:tcW w:w="992" w:type="dxa"/>
          </w:tcPr>
          <w:p>
            <w:pPr>
              <w:rPr>
                <w:sz w:val="24"/>
                <w:szCs w:val="24"/>
              </w:rPr>
            </w:pPr>
            <w:r>
              <w:rPr>
                <w:sz w:val="24"/>
                <w:szCs w:val="24"/>
              </w:rPr>
              <w:t>180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8</w:t>
            </w:r>
          </w:p>
        </w:tc>
        <w:tc>
          <w:tcPr>
            <w:tcW w:w="2126" w:type="dxa"/>
          </w:tcPr>
          <w:p>
            <w:pPr>
              <w:jc w:val="center"/>
              <w:rPr>
                <w:sz w:val="24"/>
                <w:szCs w:val="24"/>
              </w:rPr>
            </w:pPr>
            <w:r>
              <w:rPr>
                <w:rFonts w:hint="eastAsia"/>
                <w:sz w:val="24"/>
                <w:szCs w:val="24"/>
              </w:rPr>
              <w:t>化妆品营销</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了解化妆品的功效及性能；掌握顾客购买心理的分析方法；掌握化妆品推销的基本策略与技巧</w:t>
            </w:r>
          </w:p>
        </w:tc>
        <w:tc>
          <w:tcPr>
            <w:tcW w:w="992" w:type="dxa"/>
          </w:tcPr>
          <w:p>
            <w:pPr>
              <w:rPr>
                <w:sz w:val="24"/>
                <w:szCs w:val="24"/>
              </w:rPr>
            </w:pPr>
            <w:r>
              <w:rPr>
                <w:rFonts w:hint="eastAsia"/>
                <w:sz w:val="24"/>
                <w:szCs w:val="24"/>
              </w:rPr>
              <w:t>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9</w:t>
            </w:r>
          </w:p>
        </w:tc>
        <w:tc>
          <w:tcPr>
            <w:tcW w:w="2126" w:type="dxa"/>
          </w:tcPr>
          <w:p>
            <w:pPr>
              <w:jc w:val="center"/>
              <w:rPr>
                <w:sz w:val="24"/>
                <w:szCs w:val="24"/>
              </w:rPr>
            </w:pPr>
            <w:r>
              <w:rPr>
                <w:rFonts w:hint="eastAsia"/>
                <w:sz w:val="24"/>
                <w:szCs w:val="24"/>
              </w:rPr>
              <w:t>盘束发造型</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完成盘束发的基本技法学习（扎束、缠绕、发结、发环、发卷、波纹、逆梳），会进行两股、三股、四股编发造型，能够进行单包、双包等发髻造型，综合运用完成日常盘发、婚礼盘发、晚宴盘发等</w:t>
            </w:r>
          </w:p>
        </w:tc>
        <w:tc>
          <w:tcPr>
            <w:tcW w:w="992" w:type="dxa"/>
          </w:tcPr>
          <w:p>
            <w:pPr>
              <w:rPr>
                <w:sz w:val="24"/>
                <w:szCs w:val="24"/>
              </w:rPr>
            </w:pPr>
            <w:r>
              <w:rPr>
                <w:rFonts w:hint="eastAsia"/>
                <w:sz w:val="24"/>
                <w:szCs w:val="24"/>
              </w:rPr>
              <w:t>1</w:t>
            </w:r>
            <w:r>
              <w:rPr>
                <w:sz w:val="24"/>
                <w:szCs w:val="24"/>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shd w:val="clear" w:color="auto" w:fill="FFFF00"/>
          </w:tcPr>
          <w:p>
            <w:pPr>
              <w:jc w:val="center"/>
              <w:rPr>
                <w:sz w:val="24"/>
                <w:szCs w:val="24"/>
              </w:rPr>
            </w:pPr>
            <w:r>
              <w:rPr>
                <w:rFonts w:hint="eastAsia"/>
                <w:sz w:val="24"/>
                <w:szCs w:val="24"/>
              </w:rPr>
              <w:t>10</w:t>
            </w:r>
          </w:p>
        </w:tc>
        <w:tc>
          <w:tcPr>
            <w:tcW w:w="2126" w:type="dxa"/>
            <w:shd w:val="clear" w:color="auto" w:fill="FFFF00"/>
          </w:tcPr>
          <w:p>
            <w:pPr>
              <w:jc w:val="center"/>
              <w:rPr>
                <w:sz w:val="24"/>
                <w:szCs w:val="24"/>
              </w:rPr>
            </w:pPr>
            <w:r>
              <w:rPr>
                <w:rFonts w:hint="eastAsia"/>
                <w:sz w:val="24"/>
                <w:szCs w:val="24"/>
              </w:rPr>
              <w:t>美甲技术与造型</w:t>
            </w:r>
          </w:p>
        </w:tc>
        <w:tc>
          <w:tcPr>
            <w:tcW w:w="5103" w:type="dxa"/>
            <w:shd w:val="clear" w:color="auto" w:fill="FFFF00"/>
          </w:tcPr>
          <w:p>
            <w:pPr>
              <w:ind w:firstLine="210" w:firstLineChars="100"/>
              <w:rPr>
                <w:rFonts w:ascii="华文楷体" w:hAnsi="华文楷体" w:eastAsia="华文楷体"/>
                <w:szCs w:val="21"/>
              </w:rPr>
            </w:pPr>
            <w:r>
              <w:rPr>
                <w:rFonts w:hint="eastAsia" w:ascii="华文楷体" w:hAnsi="华文楷体" w:eastAsia="华文楷体"/>
                <w:szCs w:val="21"/>
              </w:rPr>
              <w:t>能完成工具的消毒与日常维护，认识手部指甲的构造及外形修整，能辨别指甲的异常与疾病，最后规范完成手部基本护理与保养（手部按摩与真甲护理、涂彩油）；能根据具体的美甲类型实施色彩设计、彩绘描画、贴片甲、装饰甲等</w:t>
            </w:r>
          </w:p>
          <w:p>
            <w:pPr>
              <w:ind w:firstLine="210" w:firstLineChars="100"/>
              <w:rPr>
                <w:rFonts w:ascii="华文楷体" w:hAnsi="华文楷体" w:eastAsia="华文楷体"/>
                <w:szCs w:val="21"/>
              </w:rPr>
            </w:pPr>
            <w:r>
              <w:rPr>
                <w:rFonts w:hint="eastAsia" w:ascii="华文楷体" w:hAnsi="华文楷体" w:eastAsia="华文楷体"/>
                <w:szCs w:val="21"/>
              </w:rPr>
              <w:t>能独立完成真人实训，能根据主题进行艺术美甲设计并实施。</w:t>
            </w:r>
          </w:p>
        </w:tc>
        <w:tc>
          <w:tcPr>
            <w:tcW w:w="992" w:type="dxa"/>
            <w:shd w:val="clear" w:color="auto" w:fill="FFFF00"/>
          </w:tcPr>
          <w:p>
            <w:pPr>
              <w:rPr>
                <w:sz w:val="24"/>
                <w:szCs w:val="24"/>
              </w:rPr>
            </w:pPr>
            <w:r>
              <w:rPr>
                <w:sz w:val="24"/>
                <w:szCs w:val="24"/>
              </w:rPr>
              <w:t>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11</w:t>
            </w:r>
          </w:p>
        </w:tc>
        <w:tc>
          <w:tcPr>
            <w:tcW w:w="2126" w:type="dxa"/>
          </w:tcPr>
          <w:p>
            <w:pPr>
              <w:jc w:val="center"/>
              <w:rPr>
                <w:sz w:val="24"/>
                <w:szCs w:val="24"/>
              </w:rPr>
            </w:pPr>
            <w:r>
              <w:rPr>
                <w:rFonts w:hint="eastAsia"/>
                <w:sz w:val="24"/>
                <w:szCs w:val="24"/>
              </w:rPr>
              <w:t>服饰与造型</w:t>
            </w:r>
          </w:p>
        </w:tc>
        <w:tc>
          <w:tcPr>
            <w:tcW w:w="5103" w:type="dxa"/>
          </w:tcPr>
          <w:p>
            <w:pPr>
              <w:ind w:firstLine="210" w:firstLineChars="100"/>
              <w:rPr>
                <w:rFonts w:ascii="华文楷体" w:hAnsi="华文楷体" w:eastAsia="华文楷体"/>
                <w:szCs w:val="21"/>
              </w:rPr>
            </w:pPr>
            <w:r>
              <w:rPr>
                <w:rFonts w:hint="eastAsia" w:ascii="华文楷体" w:hAnsi="华文楷体" w:eastAsia="华文楷体"/>
                <w:szCs w:val="21"/>
              </w:rPr>
              <w:t>了解服装、饰品与化妆、发型搭配的基础原理与方法；掌握不同场合中服饰造型的基本技能；具备运用服饰与造型基本原理与方法进行服装、色彩、饰品的搭配</w:t>
            </w:r>
          </w:p>
        </w:tc>
        <w:tc>
          <w:tcPr>
            <w:tcW w:w="992" w:type="dxa"/>
          </w:tcPr>
          <w:p>
            <w:pPr>
              <w:rPr>
                <w:sz w:val="24"/>
                <w:szCs w:val="24"/>
              </w:rPr>
            </w:pPr>
            <w:r>
              <w:rPr>
                <w:sz w:val="24"/>
                <w:szCs w:val="24"/>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sz w:val="24"/>
                <w:szCs w:val="24"/>
              </w:rPr>
            </w:pPr>
            <w:r>
              <w:rPr>
                <w:rFonts w:hint="eastAsia"/>
                <w:sz w:val="24"/>
                <w:szCs w:val="24"/>
              </w:rPr>
              <w:t>1</w:t>
            </w:r>
            <w:r>
              <w:rPr>
                <w:sz w:val="24"/>
                <w:szCs w:val="24"/>
              </w:rPr>
              <w:t>2</w:t>
            </w:r>
          </w:p>
        </w:tc>
        <w:tc>
          <w:tcPr>
            <w:tcW w:w="2126" w:type="dxa"/>
          </w:tcPr>
          <w:p>
            <w:pPr>
              <w:jc w:val="center"/>
              <w:rPr>
                <w:sz w:val="24"/>
                <w:szCs w:val="24"/>
              </w:rPr>
            </w:pPr>
            <w:r>
              <w:rPr>
                <w:rFonts w:hint="eastAsia"/>
                <w:sz w:val="24"/>
                <w:szCs w:val="24"/>
              </w:rPr>
              <w:t>摄影技术</w:t>
            </w:r>
          </w:p>
        </w:tc>
        <w:tc>
          <w:tcPr>
            <w:tcW w:w="5103" w:type="dxa"/>
          </w:tcPr>
          <w:p>
            <w:pPr>
              <w:rPr>
                <w:sz w:val="24"/>
                <w:szCs w:val="24"/>
              </w:rPr>
            </w:pPr>
            <w:r>
              <w:rPr>
                <w:rFonts w:hint="eastAsia" w:ascii="华文楷体" w:hAnsi="华文楷体" w:eastAsia="华文楷体"/>
                <w:szCs w:val="21"/>
              </w:rPr>
              <w:t>学会生活动态、静态的拍摄，并具备一定的修图能力。</w:t>
            </w:r>
          </w:p>
        </w:tc>
        <w:tc>
          <w:tcPr>
            <w:tcW w:w="992" w:type="dxa"/>
          </w:tcPr>
          <w:p>
            <w:pPr>
              <w:rPr>
                <w:sz w:val="24"/>
                <w:szCs w:val="24"/>
              </w:rPr>
            </w:pPr>
            <w:r>
              <w:rPr>
                <w:rFonts w:hint="eastAsia"/>
                <w:sz w:val="24"/>
                <w:szCs w:val="24"/>
              </w:rPr>
              <w:t>7</w:t>
            </w:r>
            <w:r>
              <w:rPr>
                <w:sz w:val="24"/>
                <w:szCs w:val="24"/>
              </w:rPr>
              <w:t>2</w:t>
            </w:r>
          </w:p>
        </w:tc>
      </w:tr>
    </w:tbl>
    <w:p>
      <w:pPr>
        <w:pStyle w:val="15"/>
        <w:numPr>
          <w:ilvl w:val="0"/>
          <w:numId w:val="3"/>
        </w:numPr>
        <w:ind w:firstLineChars="0"/>
        <w:rPr>
          <w:b/>
          <w:sz w:val="28"/>
          <w:szCs w:val="28"/>
        </w:rPr>
      </w:pPr>
      <w:r>
        <w:rPr>
          <w:rFonts w:hint="eastAsia"/>
          <w:b/>
          <w:sz w:val="28"/>
          <w:szCs w:val="28"/>
        </w:rPr>
        <w:t>综合实训</w:t>
      </w:r>
    </w:p>
    <w:p>
      <w:pPr>
        <w:ind w:firstLine="560" w:firstLineChars="200"/>
        <w:rPr>
          <w:sz w:val="28"/>
          <w:szCs w:val="28"/>
        </w:rPr>
      </w:pPr>
      <w:r>
        <w:rPr>
          <w:rFonts w:hint="eastAsia"/>
          <w:sz w:val="28"/>
          <w:szCs w:val="28"/>
        </w:rPr>
        <w:t>综合实训是本专业专门化方向课程，集美容、美体、美甲、芳香、技术等为一体，提高学生的综合技能。综合实训中聚合市美容美发集团力量，在高度校企合作中让学生走进行业，逐步完善推广现代学徒制，实训按照国家职业资格标准要求进行项目实训。</w:t>
      </w:r>
    </w:p>
    <w:p>
      <w:pPr>
        <w:ind w:left="284"/>
        <w:rPr>
          <w:b/>
          <w:sz w:val="28"/>
          <w:szCs w:val="28"/>
        </w:rPr>
      </w:pPr>
      <w:r>
        <w:rPr>
          <w:rFonts w:hint="eastAsia"/>
          <w:b/>
          <w:sz w:val="28"/>
          <w:szCs w:val="28"/>
        </w:rPr>
        <w:t>（四）顶岗实习</w:t>
      </w:r>
    </w:p>
    <w:p>
      <w:pPr>
        <w:ind w:firstLine="560" w:firstLineChars="200"/>
        <w:rPr>
          <w:sz w:val="28"/>
          <w:szCs w:val="28"/>
        </w:rPr>
      </w:pPr>
      <w:r>
        <w:rPr>
          <w:rFonts w:hint="eastAsia"/>
          <w:sz w:val="28"/>
          <w:szCs w:val="28"/>
        </w:rPr>
        <w:t>顶岗实习是在以美容美体工作为主要岗位的企业单位开展的生产性实习。让学生在形式多样的实习安排中感受企业文化，适应企业管理，熟练操作技能，认识社会和客观评价自我，提高综合职业能力，为顺利走向社会奠定基础。</w:t>
      </w:r>
    </w:p>
    <w:p>
      <w:pPr>
        <w:pStyle w:val="15"/>
        <w:numPr>
          <w:ilvl w:val="0"/>
          <w:numId w:val="2"/>
        </w:numPr>
        <w:ind w:firstLineChars="0"/>
        <w:rPr>
          <w:b/>
          <w:sz w:val="28"/>
          <w:szCs w:val="28"/>
        </w:rPr>
      </w:pPr>
      <w:r>
        <w:rPr>
          <w:rFonts w:hint="eastAsia"/>
          <w:b/>
          <w:sz w:val="28"/>
          <w:szCs w:val="28"/>
        </w:rPr>
        <w:t>教学时间安排</w:t>
      </w:r>
    </w:p>
    <w:p>
      <w:pPr>
        <w:pStyle w:val="15"/>
        <w:numPr>
          <w:ilvl w:val="0"/>
          <w:numId w:val="4"/>
        </w:numPr>
        <w:ind w:firstLineChars="0"/>
        <w:rPr>
          <w:b/>
          <w:sz w:val="28"/>
          <w:szCs w:val="28"/>
        </w:rPr>
      </w:pPr>
      <w:r>
        <w:rPr>
          <w:rFonts w:hint="eastAsia"/>
          <w:b/>
          <w:sz w:val="28"/>
          <w:szCs w:val="28"/>
        </w:rPr>
        <w:t>基本要求</w:t>
      </w:r>
    </w:p>
    <w:p>
      <w:pPr>
        <w:ind w:left="420" w:leftChars="200" w:firstLine="137" w:firstLineChars="49"/>
        <w:rPr>
          <w:sz w:val="28"/>
          <w:szCs w:val="28"/>
        </w:rPr>
      </w:pPr>
      <w:r>
        <w:rPr>
          <w:rFonts w:hint="eastAsia"/>
          <w:sz w:val="28"/>
          <w:szCs w:val="28"/>
        </w:rPr>
        <w:t>每学年为52周，其中教学时间40周（含复习考试），累计假期12周，周学时一般为3</w:t>
      </w:r>
      <w:r>
        <w:rPr>
          <w:sz w:val="28"/>
          <w:szCs w:val="28"/>
        </w:rPr>
        <w:t>3</w:t>
      </w:r>
      <w:r>
        <w:rPr>
          <w:rFonts w:hint="eastAsia"/>
          <w:sz w:val="28"/>
          <w:szCs w:val="28"/>
        </w:rPr>
        <w:t>学时，定岗实习按每周30小时（1小时折合1学时）安排，3年总学时数为3</w:t>
      </w:r>
      <w:r>
        <w:rPr>
          <w:sz w:val="28"/>
          <w:szCs w:val="28"/>
        </w:rPr>
        <w:t>336</w:t>
      </w:r>
      <w:r>
        <w:rPr>
          <w:rFonts w:hint="eastAsia"/>
          <w:sz w:val="28"/>
          <w:szCs w:val="28"/>
        </w:rPr>
        <w:t>左右.课程开设顺序和周学时安排，根据实际情况调整。</w:t>
      </w:r>
    </w:p>
    <w:p>
      <w:pPr>
        <w:ind w:left="420" w:leftChars="200" w:firstLine="417" w:firstLineChars="149"/>
        <w:rPr>
          <w:sz w:val="28"/>
          <w:szCs w:val="28"/>
        </w:rPr>
      </w:pPr>
      <w:r>
        <w:rPr>
          <w:rFonts w:hint="eastAsia" w:ascii="华文楷体" w:hAnsi="华文楷体" w:eastAsia="华文楷体" w:cs="华文楷体"/>
          <w:bCs/>
          <w:color w:val="000000" w:themeColor="text1"/>
          <w:sz w:val="28"/>
          <w:szCs w:val="28"/>
          <w14:textFill>
            <w14:solidFill>
              <w14:schemeClr w14:val="tx1"/>
            </w14:solidFill>
          </w14:textFill>
        </w:rPr>
        <w:t>公共基础课为</w:t>
      </w:r>
      <w:r>
        <w:rPr>
          <w:rFonts w:ascii="华文楷体" w:hAnsi="华文楷体" w:eastAsia="华文楷体" w:cs="华文楷体"/>
          <w:bCs/>
          <w:color w:val="000000" w:themeColor="text1"/>
          <w:sz w:val="28"/>
          <w:szCs w:val="28"/>
          <w14:textFill>
            <w14:solidFill>
              <w14:schemeClr w14:val="tx1"/>
            </w14:solidFill>
          </w14:textFill>
        </w:rPr>
        <w:t>1224</w:t>
      </w:r>
      <w:r>
        <w:rPr>
          <w:rFonts w:hint="eastAsia" w:ascii="华文楷体" w:hAnsi="华文楷体" w:eastAsia="华文楷体" w:cs="华文楷体"/>
          <w:bCs/>
          <w:color w:val="000000" w:themeColor="text1"/>
          <w:sz w:val="28"/>
          <w:szCs w:val="28"/>
          <w14:textFill>
            <w14:solidFill>
              <w14:schemeClr w14:val="tx1"/>
            </w14:solidFill>
          </w14:textFill>
        </w:rPr>
        <w:t>学时</w:t>
      </w:r>
      <w:r>
        <w:rPr>
          <w:rFonts w:ascii="华文楷体" w:hAnsi="华文楷体" w:eastAsia="华文楷体" w:cs="华文楷体"/>
          <w:bCs/>
          <w:color w:val="000000" w:themeColor="text1"/>
          <w:sz w:val="28"/>
          <w:szCs w:val="28"/>
          <w14:textFill>
            <w14:solidFill>
              <w14:schemeClr w14:val="tx1"/>
            </w14:solidFill>
          </w14:textFill>
        </w:rPr>
        <w:t>，</w:t>
      </w:r>
      <w:r>
        <w:rPr>
          <w:rFonts w:hint="eastAsia" w:ascii="华文楷体" w:hAnsi="华文楷体" w:eastAsia="华文楷体" w:cs="华文楷体"/>
          <w:bCs/>
          <w:color w:val="000000" w:themeColor="text1"/>
          <w:sz w:val="28"/>
          <w:szCs w:val="28"/>
          <w14:textFill>
            <w14:solidFill>
              <w14:schemeClr w14:val="tx1"/>
            </w14:solidFill>
          </w14:textFill>
        </w:rPr>
        <w:t>约占总学时的</w:t>
      </w:r>
      <w:r>
        <w:rPr>
          <w:rFonts w:ascii="华文楷体" w:hAnsi="华文楷体" w:eastAsia="华文楷体" w:cs="华文楷体"/>
          <w:bCs/>
          <w:color w:val="000000" w:themeColor="text1"/>
          <w:sz w:val="28"/>
          <w:szCs w:val="28"/>
          <w14:textFill>
            <w14:solidFill>
              <w14:schemeClr w14:val="tx1"/>
            </w14:solidFill>
          </w14:textFill>
        </w:rPr>
        <w:t>37%</w:t>
      </w:r>
      <w:r>
        <w:rPr>
          <w:rFonts w:hint="eastAsia" w:ascii="华文楷体" w:hAnsi="华文楷体" w:eastAsia="华文楷体" w:cs="华文楷体"/>
          <w:bCs/>
          <w:color w:val="000000" w:themeColor="text1"/>
          <w:sz w:val="28"/>
          <w:szCs w:val="28"/>
          <w14:textFill>
            <w14:solidFill>
              <w14:schemeClr w14:val="tx1"/>
            </w14:solidFill>
          </w14:textFill>
        </w:rPr>
        <w:t>；专业课为</w:t>
      </w:r>
      <w:r>
        <w:rPr>
          <w:rFonts w:ascii="华文楷体" w:hAnsi="华文楷体" w:eastAsia="华文楷体" w:cs="华文楷体"/>
          <w:bCs/>
          <w:color w:val="000000" w:themeColor="text1"/>
          <w:sz w:val="28"/>
          <w:szCs w:val="28"/>
          <w14:textFill>
            <w14:solidFill>
              <w14:schemeClr w14:val="tx1"/>
            </w14:solidFill>
          </w14:textFill>
        </w:rPr>
        <w:t>1152</w:t>
      </w:r>
      <w:r>
        <w:rPr>
          <w:rFonts w:hint="eastAsia" w:ascii="华文楷体" w:hAnsi="华文楷体" w:eastAsia="华文楷体" w:cs="华文楷体"/>
          <w:bCs/>
          <w:color w:val="000000" w:themeColor="text1"/>
          <w:sz w:val="28"/>
          <w:szCs w:val="28"/>
          <w14:textFill>
            <w14:solidFill>
              <w14:schemeClr w14:val="tx1"/>
            </w14:solidFill>
          </w14:textFill>
        </w:rPr>
        <w:t>学时，约占总学时的</w:t>
      </w:r>
      <w:r>
        <w:rPr>
          <w:rFonts w:ascii="华文楷体" w:hAnsi="华文楷体" w:eastAsia="华文楷体" w:cs="华文楷体"/>
          <w:bCs/>
          <w:color w:val="000000" w:themeColor="text1"/>
          <w:sz w:val="28"/>
          <w:szCs w:val="28"/>
          <w14:textFill>
            <w14:solidFill>
              <w14:schemeClr w14:val="tx1"/>
            </w14:solidFill>
          </w14:textFill>
        </w:rPr>
        <w:t>35%</w:t>
      </w:r>
      <w:r>
        <w:rPr>
          <w:rFonts w:hint="eastAsia" w:ascii="华文楷体" w:hAnsi="华文楷体" w:eastAsia="华文楷体" w:cs="华文楷体"/>
          <w:bCs/>
          <w:color w:val="000000" w:themeColor="text1"/>
          <w:sz w:val="28"/>
          <w:szCs w:val="28"/>
          <w14:textFill>
            <w14:solidFill>
              <w14:schemeClr w14:val="tx1"/>
            </w14:solidFill>
          </w14:textFill>
        </w:rPr>
        <w:t>，其中学徒实践性教学系</w:t>
      </w:r>
      <w:r>
        <w:rPr>
          <w:rFonts w:ascii="华文楷体" w:hAnsi="华文楷体" w:eastAsia="华文楷体" w:cs="华文楷体"/>
          <w:bCs/>
          <w:color w:val="000000" w:themeColor="text1"/>
          <w:sz w:val="28"/>
          <w:szCs w:val="28"/>
          <w14:textFill>
            <w14:solidFill>
              <w14:schemeClr w14:val="tx1"/>
            </w14:solidFill>
          </w14:textFill>
        </w:rPr>
        <w:t>480</w:t>
      </w:r>
      <w:r>
        <w:rPr>
          <w:rFonts w:hint="eastAsia" w:ascii="华文楷体" w:hAnsi="华文楷体" w:eastAsia="华文楷体" w:cs="华文楷体"/>
          <w:bCs/>
          <w:color w:val="000000" w:themeColor="text1"/>
          <w:sz w:val="28"/>
          <w:szCs w:val="28"/>
          <w14:textFill>
            <w14:solidFill>
              <w14:schemeClr w14:val="tx1"/>
            </w14:solidFill>
          </w14:textFill>
        </w:rPr>
        <w:t>学时，约占总学时</w:t>
      </w:r>
      <w:r>
        <w:rPr>
          <w:rFonts w:ascii="华文楷体" w:hAnsi="华文楷体" w:eastAsia="华文楷体" w:cs="华文楷体"/>
          <w:bCs/>
          <w:color w:val="000000" w:themeColor="text1"/>
          <w:sz w:val="28"/>
          <w:szCs w:val="28"/>
          <w14:textFill>
            <w14:solidFill>
              <w14:schemeClr w14:val="tx1"/>
            </w14:solidFill>
          </w14:textFill>
        </w:rPr>
        <w:t xml:space="preserve"> 14 </w:t>
      </w:r>
      <w:r>
        <w:rPr>
          <w:rFonts w:hint="eastAsia" w:ascii="华文楷体" w:hAnsi="华文楷体" w:eastAsia="华文楷体" w:cs="华文楷体"/>
          <w:bCs/>
          <w:color w:val="000000" w:themeColor="text1"/>
          <w:sz w:val="28"/>
          <w:szCs w:val="28"/>
          <w14:textFill>
            <w14:solidFill>
              <w14:schemeClr w14:val="tx1"/>
            </w14:solidFill>
          </w14:textFill>
        </w:rPr>
        <w:t>%。顶岗实习4</w:t>
      </w:r>
      <w:r>
        <w:rPr>
          <w:rFonts w:ascii="华文楷体" w:hAnsi="华文楷体" w:eastAsia="华文楷体" w:cs="华文楷体"/>
          <w:bCs/>
          <w:color w:val="000000" w:themeColor="text1"/>
          <w:sz w:val="28"/>
          <w:szCs w:val="28"/>
          <w14:textFill>
            <w14:solidFill>
              <w14:schemeClr w14:val="tx1"/>
            </w14:solidFill>
          </w14:textFill>
        </w:rPr>
        <w:t>80</w:t>
      </w:r>
      <w:r>
        <w:rPr>
          <w:rFonts w:hint="eastAsia" w:ascii="华文楷体" w:hAnsi="华文楷体" w:eastAsia="华文楷体" w:cs="华文楷体"/>
          <w:bCs/>
          <w:color w:val="000000" w:themeColor="text1"/>
          <w:sz w:val="28"/>
          <w:szCs w:val="28"/>
          <w14:textFill>
            <w14:solidFill>
              <w14:schemeClr w14:val="tx1"/>
            </w14:solidFill>
          </w14:textFill>
        </w:rPr>
        <w:t>学时，约占总学时的</w:t>
      </w:r>
      <w:r>
        <w:rPr>
          <w:rFonts w:ascii="华文楷体" w:hAnsi="华文楷体" w:eastAsia="华文楷体" w:cs="华文楷体"/>
          <w:bCs/>
          <w:color w:val="000000" w:themeColor="text1"/>
          <w:sz w:val="28"/>
          <w:szCs w:val="28"/>
          <w14:textFill>
            <w14:solidFill>
              <w14:schemeClr w14:val="tx1"/>
            </w14:solidFill>
          </w14:textFill>
        </w:rPr>
        <w:t xml:space="preserve"> 14</w:t>
      </w:r>
      <w:r>
        <w:rPr>
          <w:rFonts w:hint="eastAsia" w:ascii="华文楷体" w:hAnsi="华文楷体" w:eastAsia="华文楷体" w:cs="华文楷体"/>
          <w:bCs/>
          <w:color w:val="000000" w:themeColor="text1"/>
          <w:sz w:val="28"/>
          <w:szCs w:val="28"/>
          <w14:textFill>
            <w14:solidFill>
              <w14:schemeClr w14:val="tx1"/>
            </w14:solidFill>
          </w14:textFill>
        </w:rPr>
        <w:t>%。</w:t>
      </w:r>
    </w:p>
    <w:p>
      <w:pPr>
        <w:ind w:left="420" w:leftChars="200" w:firstLine="137" w:firstLineChars="49"/>
        <w:rPr>
          <w:sz w:val="28"/>
          <w:szCs w:val="28"/>
        </w:rPr>
      </w:pPr>
      <w:r>
        <w:rPr>
          <w:rFonts w:hint="eastAsia"/>
          <w:sz w:val="28"/>
          <w:szCs w:val="28"/>
        </w:rPr>
        <w:t xml:space="preserve">   本专业实行学分制，一般16——18学时为1学分，3年制总学分不少于170分。军训、社会实践、入学教育、毕业教育等活动以一周为一学分，共5学分。</w:t>
      </w:r>
    </w:p>
    <w:p>
      <w:pPr>
        <w:ind w:left="420" w:leftChars="200" w:firstLine="137" w:firstLineChars="49"/>
        <w:rPr>
          <w:sz w:val="28"/>
          <w:szCs w:val="28"/>
        </w:rPr>
      </w:pPr>
      <w:r>
        <w:rPr>
          <w:rFonts w:hint="eastAsia"/>
          <w:sz w:val="28"/>
          <w:szCs w:val="28"/>
        </w:rPr>
        <w:t xml:space="preserve">   公共基础课学时约占总学时的1/3,专业技能课学时约占学时的2/3.</w:t>
      </w:r>
    </w:p>
    <w:p>
      <w:pPr>
        <w:pStyle w:val="15"/>
        <w:numPr>
          <w:ilvl w:val="0"/>
          <w:numId w:val="4"/>
        </w:numPr>
        <w:ind w:firstLineChars="0"/>
        <w:rPr>
          <w:b/>
          <w:sz w:val="28"/>
          <w:szCs w:val="28"/>
        </w:rPr>
      </w:pPr>
      <w:r>
        <w:rPr>
          <w:rFonts w:hint="eastAsia"/>
          <w:b/>
          <w:sz w:val="28"/>
          <w:szCs w:val="28"/>
        </w:rPr>
        <w:t>教学安排建议</w:t>
      </w:r>
    </w:p>
    <w:tbl>
      <w:tblPr>
        <w:tblStyle w:val="9"/>
        <w:tblW w:w="9440" w:type="dxa"/>
        <w:tblInd w:w="0" w:type="dxa"/>
        <w:tblLayout w:type="autofit"/>
        <w:tblCellMar>
          <w:top w:w="0" w:type="dxa"/>
          <w:left w:w="108" w:type="dxa"/>
          <w:bottom w:w="0" w:type="dxa"/>
          <w:right w:w="108" w:type="dxa"/>
        </w:tblCellMar>
      </w:tblPr>
      <w:tblGrid>
        <w:gridCol w:w="1040"/>
        <w:gridCol w:w="1040"/>
        <w:gridCol w:w="1040"/>
        <w:gridCol w:w="1040"/>
        <w:gridCol w:w="880"/>
        <w:gridCol w:w="880"/>
        <w:gridCol w:w="880"/>
        <w:gridCol w:w="880"/>
        <w:gridCol w:w="880"/>
        <w:gridCol w:w="880"/>
      </w:tblGrid>
      <w:tr>
        <w:tblPrEx>
          <w:tblCellMar>
            <w:top w:w="0" w:type="dxa"/>
            <w:left w:w="108" w:type="dxa"/>
            <w:bottom w:w="0" w:type="dxa"/>
            <w:right w:w="108" w:type="dxa"/>
          </w:tblCellMar>
        </w:tblPrEx>
        <w:trPr>
          <w:trHeight w:val="320" w:hRule="atLeast"/>
        </w:trPr>
        <w:tc>
          <w:tcPr>
            <w:tcW w:w="104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课程</w:t>
            </w:r>
          </w:p>
        </w:tc>
        <w:tc>
          <w:tcPr>
            <w:tcW w:w="10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课程名称</w:t>
            </w:r>
          </w:p>
        </w:tc>
        <w:tc>
          <w:tcPr>
            <w:tcW w:w="10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学分</w:t>
            </w:r>
          </w:p>
        </w:tc>
        <w:tc>
          <w:tcPr>
            <w:tcW w:w="10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学时</w:t>
            </w:r>
          </w:p>
        </w:tc>
        <w:tc>
          <w:tcPr>
            <w:tcW w:w="5280"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w:t>
            </w:r>
            <w:r>
              <w:rPr>
                <w:rFonts w:ascii="Calibri" w:hAnsi="Calibri" w:eastAsia="宋体" w:cs="Calibri"/>
                <w:b/>
                <w:bCs/>
                <w:color w:val="000000"/>
                <w:kern w:val="0"/>
                <w:sz w:val="24"/>
                <w:szCs w:val="24"/>
              </w:rPr>
              <w:t xml:space="preserve">   </w:t>
            </w:r>
            <w:r>
              <w:rPr>
                <w:rFonts w:hint="eastAsia" w:ascii="宋体" w:hAnsi="宋体" w:eastAsia="宋体" w:cs="宋体"/>
                <w:b/>
                <w:bCs/>
                <w:color w:val="000000"/>
                <w:kern w:val="0"/>
                <w:sz w:val="24"/>
                <w:szCs w:val="24"/>
              </w:rPr>
              <w:t>期</w:t>
            </w:r>
          </w:p>
        </w:tc>
      </w:tr>
      <w:tr>
        <w:tblPrEx>
          <w:tblCellMar>
            <w:top w:w="0" w:type="dxa"/>
            <w:left w:w="108" w:type="dxa"/>
            <w:bottom w:w="0" w:type="dxa"/>
            <w:right w:w="108" w:type="dxa"/>
          </w:tblCellMar>
        </w:tblPrEx>
        <w:trPr>
          <w:trHeight w:val="31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类别</w:t>
            </w:r>
          </w:p>
        </w:tc>
        <w:tc>
          <w:tcPr>
            <w:tcW w:w="10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4"/>
                <w:szCs w:val="24"/>
              </w:rPr>
            </w:pPr>
          </w:p>
        </w:tc>
        <w:tc>
          <w:tcPr>
            <w:tcW w:w="10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4"/>
                <w:szCs w:val="24"/>
              </w:rPr>
            </w:pPr>
          </w:p>
        </w:tc>
        <w:tc>
          <w:tcPr>
            <w:tcW w:w="10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4"/>
                <w:szCs w:val="24"/>
              </w:rPr>
            </w:pP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4</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5</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6</w:t>
            </w:r>
          </w:p>
        </w:tc>
      </w:tr>
      <w:tr>
        <w:tblPrEx>
          <w:tblCellMar>
            <w:top w:w="0" w:type="dxa"/>
            <w:left w:w="108" w:type="dxa"/>
            <w:bottom w:w="0" w:type="dxa"/>
            <w:right w:w="108" w:type="dxa"/>
          </w:tblCellMar>
        </w:tblPrEx>
        <w:trPr>
          <w:trHeight w:val="320" w:hRule="atLeast"/>
        </w:trPr>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公共基础课</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思想</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政治</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8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144</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语文</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12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216</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数学</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8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144</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英语</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8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144</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61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计算机应用基础</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6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108</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61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体育与健康</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8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144</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艺 术</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2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36</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历史</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2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36</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礼仪</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2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36</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普通话</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4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72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选修课</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8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144</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tblPrEx>
          <w:tblCellMar>
            <w:top w:w="0" w:type="dxa"/>
            <w:left w:w="108" w:type="dxa"/>
            <w:bottom w:w="0" w:type="dxa"/>
            <w:right w:w="108" w:type="dxa"/>
          </w:tblCellMar>
        </w:tblPrEx>
        <w:trPr>
          <w:trHeight w:val="91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公共基础课小计</w:t>
            </w:r>
          </w:p>
        </w:tc>
        <w:tc>
          <w:tcPr>
            <w:tcW w:w="104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68 </w:t>
            </w:r>
          </w:p>
        </w:tc>
        <w:tc>
          <w:tcPr>
            <w:tcW w:w="104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1224</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19</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19</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16</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14</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0</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0</w:t>
            </w:r>
          </w:p>
        </w:tc>
      </w:tr>
      <w:tr>
        <w:tblPrEx>
          <w:tblCellMar>
            <w:top w:w="0" w:type="dxa"/>
            <w:left w:w="108" w:type="dxa"/>
            <w:bottom w:w="0" w:type="dxa"/>
            <w:right w:w="108" w:type="dxa"/>
          </w:tblCellMar>
        </w:tblPrEx>
        <w:trPr>
          <w:trHeight w:val="320" w:hRule="atLeast"/>
        </w:trPr>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专业技能课</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美容基础</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6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108</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美体基础</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6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108</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芳香美体</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6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108</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美体技术</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6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108</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美术基础</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4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72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化妆基础</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6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108</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61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化妆造型设计</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10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180</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5</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5</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61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化妆品营销</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4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72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61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盘束发造型</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6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108</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61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FFFF0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美甲护理与造型</w:t>
            </w:r>
          </w:p>
        </w:tc>
        <w:tc>
          <w:tcPr>
            <w:tcW w:w="1040" w:type="dxa"/>
            <w:tcBorders>
              <w:top w:val="nil"/>
              <w:left w:val="nil"/>
              <w:bottom w:val="single" w:color="auto" w:sz="8" w:space="0"/>
              <w:right w:val="single" w:color="auto" w:sz="8" w:space="0"/>
            </w:tcBorders>
            <w:shd w:val="clear" w:color="auto" w:fill="FFFF00"/>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4 </w:t>
            </w:r>
          </w:p>
        </w:tc>
        <w:tc>
          <w:tcPr>
            <w:tcW w:w="1040" w:type="dxa"/>
            <w:tcBorders>
              <w:top w:val="nil"/>
              <w:left w:val="nil"/>
              <w:bottom w:val="single" w:color="auto" w:sz="8" w:space="0"/>
              <w:right w:val="single" w:color="auto" w:sz="8" w:space="0"/>
            </w:tcBorders>
            <w:shd w:val="clear" w:color="auto" w:fill="FFFF0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72</w:t>
            </w:r>
          </w:p>
        </w:tc>
        <w:tc>
          <w:tcPr>
            <w:tcW w:w="880" w:type="dxa"/>
            <w:tcBorders>
              <w:top w:val="nil"/>
              <w:left w:val="nil"/>
              <w:bottom w:val="single" w:color="auto" w:sz="8" w:space="0"/>
              <w:right w:val="single" w:color="auto" w:sz="8" w:space="0"/>
            </w:tcBorders>
            <w:shd w:val="clear" w:color="auto" w:fill="FFFF00"/>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FFFF00"/>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FFFF0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FFFF0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FFFF00"/>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FFFF00"/>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32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摄影技术</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4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72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61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服饰与造型</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2 </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36</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2</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c>
          <w:tcPr>
            <w:tcW w:w="88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r>
        <w:tblPrEx>
          <w:tblCellMar>
            <w:top w:w="0" w:type="dxa"/>
            <w:left w:w="108" w:type="dxa"/>
            <w:bottom w:w="0" w:type="dxa"/>
            <w:right w:w="108" w:type="dxa"/>
          </w:tblCellMar>
        </w:tblPrEx>
        <w:trPr>
          <w:trHeight w:val="910" w:hRule="atLeast"/>
        </w:trPr>
        <w:tc>
          <w:tcPr>
            <w:tcW w:w="10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 w:val="28"/>
                <w:szCs w:val="28"/>
              </w:rPr>
            </w:pPr>
          </w:p>
        </w:tc>
        <w:tc>
          <w:tcPr>
            <w:tcW w:w="1040"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专业技能课小计</w:t>
            </w:r>
          </w:p>
        </w:tc>
        <w:tc>
          <w:tcPr>
            <w:tcW w:w="104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64 </w:t>
            </w:r>
          </w:p>
        </w:tc>
        <w:tc>
          <w:tcPr>
            <w:tcW w:w="104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1152 </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14 </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14 </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17 </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19 </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0 </w:t>
            </w:r>
          </w:p>
        </w:tc>
        <w:tc>
          <w:tcPr>
            <w:tcW w:w="880" w:type="dxa"/>
            <w:tcBorders>
              <w:top w:val="nil"/>
              <w:left w:val="nil"/>
              <w:bottom w:val="single" w:color="auto" w:sz="8" w:space="0"/>
              <w:right w:val="single" w:color="auto" w:sz="8" w:space="0"/>
            </w:tcBorders>
            <w:shd w:val="clear" w:color="000000" w:fill="FFFF00"/>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0 </w:t>
            </w:r>
          </w:p>
        </w:tc>
      </w:tr>
      <w:tr>
        <w:tblPrEx>
          <w:tblCellMar>
            <w:top w:w="0" w:type="dxa"/>
            <w:left w:w="108" w:type="dxa"/>
            <w:bottom w:w="0" w:type="dxa"/>
            <w:right w:w="108" w:type="dxa"/>
          </w:tblCellMar>
        </w:tblPrEx>
        <w:trPr>
          <w:trHeight w:val="700" w:hRule="atLeast"/>
        </w:trPr>
        <w:tc>
          <w:tcPr>
            <w:tcW w:w="1040" w:type="dxa"/>
            <w:vMerge w:val="restart"/>
            <w:tcBorders>
              <w:top w:val="nil"/>
              <w:left w:val="single" w:color="auto" w:sz="8" w:space="0"/>
              <w:bottom w:val="single" w:color="000000" w:sz="8" w:space="0"/>
              <w:right w:val="nil"/>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学徒课程及顶岗实习</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学徒课程</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30</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480</w:t>
            </w:r>
          </w:p>
        </w:tc>
        <w:tc>
          <w:tcPr>
            <w:tcW w:w="5280"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高三上期学生在自己选定的企业和专业方向以“学徒专月”的形式完成学徒轮训课程</w:t>
            </w:r>
          </w:p>
        </w:tc>
      </w:tr>
      <w:tr>
        <w:tblPrEx>
          <w:tblCellMar>
            <w:top w:w="0" w:type="dxa"/>
            <w:left w:w="108" w:type="dxa"/>
            <w:bottom w:w="0" w:type="dxa"/>
            <w:right w:w="108" w:type="dxa"/>
          </w:tblCellMar>
        </w:tblPrEx>
        <w:trPr>
          <w:trHeight w:val="530" w:hRule="atLeast"/>
        </w:trPr>
        <w:tc>
          <w:tcPr>
            <w:tcW w:w="1040"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b/>
                <w:bCs/>
                <w:color w:val="000000"/>
                <w:kern w:val="0"/>
                <w:sz w:val="22"/>
              </w:rPr>
            </w:pP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顶岗实习</w:t>
            </w:r>
          </w:p>
        </w:tc>
        <w:tc>
          <w:tcPr>
            <w:tcW w:w="10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等线" w:cs="Calibri"/>
                <w:color w:val="000000"/>
                <w:kern w:val="0"/>
                <w:sz w:val="24"/>
                <w:szCs w:val="24"/>
              </w:rPr>
            </w:pPr>
            <w:r>
              <w:rPr>
                <w:rFonts w:ascii="Calibri" w:hAnsi="Calibri" w:eastAsia="等线" w:cs="Calibri"/>
                <w:color w:val="000000"/>
                <w:kern w:val="0"/>
                <w:sz w:val="24"/>
                <w:szCs w:val="24"/>
              </w:rPr>
              <w:t>30</w:t>
            </w:r>
          </w:p>
        </w:tc>
        <w:tc>
          <w:tcPr>
            <w:tcW w:w="1040" w:type="dxa"/>
            <w:tcBorders>
              <w:top w:val="nil"/>
              <w:left w:val="nil"/>
              <w:bottom w:val="single" w:color="auto" w:sz="8" w:space="0"/>
              <w:right w:val="single" w:color="auto" w:sz="8" w:space="0"/>
            </w:tcBorders>
            <w:shd w:val="clear" w:color="auto" w:fill="auto"/>
            <w:vAlign w:val="center"/>
          </w:tcPr>
          <w:p>
            <w:pPr>
              <w:widowControl/>
              <w:rPr>
                <w:rFonts w:ascii="Calibri" w:hAnsi="Calibri" w:eastAsia="等线" w:cs="Calibri"/>
                <w:color w:val="000000"/>
                <w:kern w:val="0"/>
                <w:sz w:val="24"/>
                <w:szCs w:val="24"/>
              </w:rPr>
            </w:pPr>
            <w:r>
              <w:rPr>
                <w:rFonts w:ascii="Calibri" w:hAnsi="Calibri" w:eastAsia="等线" w:cs="Calibri"/>
                <w:color w:val="000000"/>
                <w:kern w:val="0"/>
                <w:sz w:val="24"/>
                <w:szCs w:val="24"/>
              </w:rPr>
              <w:t>480</w:t>
            </w:r>
          </w:p>
        </w:tc>
        <w:tc>
          <w:tcPr>
            <w:tcW w:w="5280"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准员工身份到相关的企业进行顶岗实习</w:t>
            </w:r>
          </w:p>
        </w:tc>
      </w:tr>
      <w:tr>
        <w:tblPrEx>
          <w:tblCellMar>
            <w:top w:w="0" w:type="dxa"/>
            <w:left w:w="108" w:type="dxa"/>
            <w:bottom w:w="0" w:type="dxa"/>
            <w:right w:w="108" w:type="dxa"/>
          </w:tblCellMar>
        </w:tblPrEx>
        <w:trPr>
          <w:trHeight w:val="320" w:hRule="atLeast"/>
        </w:trPr>
        <w:tc>
          <w:tcPr>
            <w:tcW w:w="2080" w:type="dxa"/>
            <w:gridSpan w:val="2"/>
            <w:tcBorders>
              <w:top w:val="single" w:color="auto" w:sz="8" w:space="0"/>
              <w:left w:val="single" w:color="auto" w:sz="8" w:space="0"/>
              <w:bottom w:val="single" w:color="auto" w:sz="8" w:space="0"/>
              <w:right w:val="single" w:color="000000" w:sz="8" w:space="0"/>
            </w:tcBorders>
            <w:shd w:val="clear" w:color="auto" w:fill="FFFF0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w:t>
            </w:r>
            <w:r>
              <w:rPr>
                <w:rFonts w:ascii="Calibri" w:hAnsi="Calibri" w:eastAsia="宋体" w:cs="Calibri"/>
                <w:b/>
                <w:bCs/>
                <w:color w:val="000000"/>
                <w:kern w:val="0"/>
                <w:sz w:val="24"/>
                <w:szCs w:val="24"/>
              </w:rPr>
              <w:t xml:space="preserve">   </w:t>
            </w:r>
            <w:r>
              <w:rPr>
                <w:rFonts w:hint="eastAsia" w:ascii="宋体" w:hAnsi="宋体" w:eastAsia="宋体" w:cs="宋体"/>
                <w:b/>
                <w:bCs/>
                <w:color w:val="000000"/>
                <w:kern w:val="0"/>
                <w:sz w:val="24"/>
                <w:szCs w:val="24"/>
              </w:rPr>
              <w:t>计</w:t>
            </w:r>
          </w:p>
        </w:tc>
        <w:tc>
          <w:tcPr>
            <w:tcW w:w="1040" w:type="dxa"/>
            <w:tcBorders>
              <w:top w:val="nil"/>
              <w:left w:val="nil"/>
              <w:bottom w:val="single" w:color="auto" w:sz="8" w:space="0"/>
              <w:right w:val="single" w:color="auto" w:sz="8" w:space="0"/>
            </w:tcBorders>
            <w:shd w:val="clear" w:color="auto" w:fill="FFFF00"/>
            <w:vAlign w:val="center"/>
          </w:tcPr>
          <w:p>
            <w:pPr>
              <w:widowControl/>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192 </w:t>
            </w:r>
          </w:p>
        </w:tc>
        <w:tc>
          <w:tcPr>
            <w:tcW w:w="1040" w:type="dxa"/>
            <w:tcBorders>
              <w:top w:val="nil"/>
              <w:left w:val="nil"/>
              <w:bottom w:val="single" w:color="auto" w:sz="8" w:space="0"/>
              <w:right w:val="single" w:color="auto" w:sz="8" w:space="0"/>
            </w:tcBorders>
            <w:shd w:val="clear" w:color="auto" w:fill="FFFF00"/>
            <w:vAlign w:val="center"/>
          </w:tcPr>
          <w:p>
            <w:pPr>
              <w:widowControl/>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3336 </w:t>
            </w:r>
          </w:p>
        </w:tc>
        <w:tc>
          <w:tcPr>
            <w:tcW w:w="880" w:type="dxa"/>
            <w:tcBorders>
              <w:top w:val="nil"/>
              <w:left w:val="nil"/>
              <w:bottom w:val="single" w:color="auto" w:sz="8" w:space="0"/>
              <w:right w:val="single" w:color="auto" w:sz="8" w:space="0"/>
            </w:tcBorders>
            <w:shd w:val="clear" w:color="auto" w:fill="FFFF00"/>
            <w:vAlign w:val="center"/>
          </w:tcPr>
          <w:p>
            <w:pPr>
              <w:widowControl/>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33 </w:t>
            </w:r>
          </w:p>
        </w:tc>
        <w:tc>
          <w:tcPr>
            <w:tcW w:w="880" w:type="dxa"/>
            <w:tcBorders>
              <w:top w:val="nil"/>
              <w:left w:val="nil"/>
              <w:bottom w:val="single" w:color="auto" w:sz="8" w:space="0"/>
              <w:right w:val="single" w:color="auto" w:sz="8" w:space="0"/>
            </w:tcBorders>
            <w:shd w:val="clear" w:color="auto" w:fill="FFFF00"/>
            <w:vAlign w:val="center"/>
          </w:tcPr>
          <w:p>
            <w:pPr>
              <w:widowControl/>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33 </w:t>
            </w:r>
          </w:p>
        </w:tc>
        <w:tc>
          <w:tcPr>
            <w:tcW w:w="880" w:type="dxa"/>
            <w:tcBorders>
              <w:top w:val="nil"/>
              <w:left w:val="nil"/>
              <w:bottom w:val="single" w:color="auto" w:sz="8" w:space="0"/>
              <w:right w:val="single" w:color="auto" w:sz="8" w:space="0"/>
            </w:tcBorders>
            <w:shd w:val="clear" w:color="auto" w:fill="FFFF00"/>
            <w:vAlign w:val="center"/>
          </w:tcPr>
          <w:p>
            <w:pPr>
              <w:widowControl/>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33 </w:t>
            </w:r>
          </w:p>
        </w:tc>
        <w:tc>
          <w:tcPr>
            <w:tcW w:w="880" w:type="dxa"/>
            <w:tcBorders>
              <w:top w:val="nil"/>
              <w:left w:val="nil"/>
              <w:bottom w:val="single" w:color="auto" w:sz="8" w:space="0"/>
              <w:right w:val="single" w:color="auto" w:sz="8" w:space="0"/>
            </w:tcBorders>
            <w:shd w:val="clear" w:color="auto" w:fill="FFFF00"/>
            <w:vAlign w:val="center"/>
          </w:tcPr>
          <w:p>
            <w:pPr>
              <w:widowControl/>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33 </w:t>
            </w:r>
          </w:p>
        </w:tc>
        <w:tc>
          <w:tcPr>
            <w:tcW w:w="880" w:type="dxa"/>
            <w:tcBorders>
              <w:top w:val="nil"/>
              <w:left w:val="nil"/>
              <w:bottom w:val="single" w:color="auto" w:sz="8" w:space="0"/>
              <w:right w:val="single" w:color="auto" w:sz="8" w:space="0"/>
            </w:tcBorders>
            <w:shd w:val="clear" w:color="auto" w:fill="FFFF00"/>
            <w:vAlign w:val="center"/>
          </w:tcPr>
          <w:p>
            <w:pPr>
              <w:widowControl/>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0 </w:t>
            </w:r>
          </w:p>
        </w:tc>
        <w:tc>
          <w:tcPr>
            <w:tcW w:w="880" w:type="dxa"/>
            <w:tcBorders>
              <w:top w:val="nil"/>
              <w:left w:val="nil"/>
              <w:bottom w:val="single" w:color="auto" w:sz="8" w:space="0"/>
              <w:right w:val="single" w:color="auto" w:sz="8" w:space="0"/>
            </w:tcBorders>
            <w:shd w:val="clear" w:color="auto" w:fill="FFFF00"/>
            <w:vAlign w:val="center"/>
          </w:tcPr>
          <w:p>
            <w:pPr>
              <w:widowControl/>
              <w:rPr>
                <w:rFonts w:ascii="Calibri" w:hAnsi="Calibri" w:eastAsia="等线" w:cs="Calibri"/>
                <w:color w:val="000000"/>
                <w:kern w:val="0"/>
                <w:sz w:val="24"/>
                <w:szCs w:val="24"/>
              </w:rPr>
            </w:pPr>
            <w:r>
              <w:rPr>
                <w:rFonts w:ascii="Calibri" w:hAnsi="Calibri" w:eastAsia="等线" w:cs="Calibri"/>
                <w:color w:val="000000"/>
                <w:kern w:val="0"/>
                <w:sz w:val="24"/>
                <w:szCs w:val="24"/>
              </w:rPr>
              <w:t xml:space="preserve">0 </w:t>
            </w:r>
          </w:p>
        </w:tc>
      </w:tr>
    </w:tbl>
    <w:p>
      <w:pPr>
        <w:spacing w:line="360" w:lineRule="auto"/>
        <w:outlineLvl w:val="1"/>
        <w:rPr>
          <w:rFonts w:ascii="仿宋" w:hAnsi="仿宋" w:eastAsia="仿宋" w:cs="Times New Roman"/>
          <w:b/>
          <w:sz w:val="28"/>
          <w:szCs w:val="28"/>
        </w:rPr>
      </w:pPr>
      <w:r>
        <w:rPr>
          <w:rFonts w:hint="eastAsia" w:ascii="仿宋" w:hAnsi="仿宋" w:eastAsia="仿宋" w:cs="Times New Roman"/>
          <w:b/>
          <w:sz w:val="28"/>
          <w:szCs w:val="28"/>
        </w:rPr>
        <w:t>八</w:t>
      </w:r>
      <w:r>
        <w:rPr>
          <w:rFonts w:ascii="仿宋" w:hAnsi="仿宋" w:eastAsia="仿宋" w:cs="Times New Roman"/>
          <w:b/>
          <w:sz w:val="28"/>
          <w:szCs w:val="28"/>
        </w:rPr>
        <w:t>、</w:t>
      </w:r>
      <w:r>
        <w:rPr>
          <w:rFonts w:hint="eastAsia" w:ascii="仿宋" w:hAnsi="仿宋" w:eastAsia="仿宋" w:cs="Times New Roman"/>
          <w:b/>
          <w:sz w:val="28"/>
          <w:szCs w:val="28"/>
        </w:rPr>
        <w:t>实施保障</w:t>
      </w:r>
    </w:p>
    <w:p>
      <w:pPr>
        <w:spacing w:line="360" w:lineRule="auto"/>
        <w:ind w:firstLine="482" w:firstLineChars="200"/>
        <w:outlineLvl w:val="1"/>
        <w:rPr>
          <w:rFonts w:ascii="仿宋" w:hAnsi="仿宋" w:eastAsia="仿宋" w:cs="黑体"/>
          <w:b/>
          <w:bCs/>
          <w:kern w:val="0"/>
          <w:sz w:val="24"/>
          <w:szCs w:val="32"/>
        </w:rPr>
      </w:pPr>
      <w:r>
        <w:rPr>
          <w:rFonts w:hint="eastAsia" w:ascii="仿宋" w:hAnsi="仿宋" w:eastAsia="仿宋" w:cs="黑体"/>
          <w:b/>
          <w:bCs/>
          <w:kern w:val="0"/>
          <w:sz w:val="24"/>
          <w:szCs w:val="32"/>
        </w:rPr>
        <w:t>（一）师资队伍</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（1）团队规模</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具有满足教学需要的素质较高、结构合理、专兼结合的教学团队。本专业共有专兼职教师</w:t>
      </w:r>
      <w:r>
        <w:rPr>
          <w:rFonts w:ascii="仿宋" w:hAnsi="仿宋" w:eastAsia="仿宋" w:cs="宋体"/>
          <w:sz w:val="24"/>
          <w:szCs w:val="24"/>
        </w:rPr>
        <w:t>13</w:t>
      </w:r>
      <w:r>
        <w:rPr>
          <w:rFonts w:hint="eastAsia" w:ascii="仿宋" w:hAnsi="仿宋" w:eastAsia="仿宋" w:cs="宋体"/>
          <w:sz w:val="24"/>
          <w:szCs w:val="24"/>
        </w:rPr>
        <w:t>人，其中，专职教师</w:t>
      </w:r>
      <w:r>
        <w:rPr>
          <w:rFonts w:ascii="仿宋" w:hAnsi="仿宋" w:eastAsia="仿宋" w:cs="宋体"/>
          <w:sz w:val="24"/>
          <w:szCs w:val="24"/>
        </w:rPr>
        <w:t>10</w:t>
      </w:r>
      <w:r>
        <w:rPr>
          <w:rFonts w:hint="eastAsia" w:ascii="仿宋" w:hAnsi="仿宋" w:eastAsia="仿宋" w:cs="宋体"/>
          <w:sz w:val="24"/>
          <w:szCs w:val="24"/>
        </w:rPr>
        <w:t>人，兼职教师</w:t>
      </w:r>
      <w:r>
        <w:rPr>
          <w:rFonts w:ascii="仿宋" w:hAnsi="仿宋" w:eastAsia="仿宋" w:cs="宋体"/>
          <w:sz w:val="24"/>
          <w:szCs w:val="24"/>
        </w:rPr>
        <w:t>3</w:t>
      </w:r>
      <w:r>
        <w:rPr>
          <w:rFonts w:hint="eastAsia" w:ascii="仿宋" w:hAnsi="仿宋" w:eastAsia="仿宋" w:cs="宋体"/>
          <w:sz w:val="24"/>
          <w:szCs w:val="24"/>
        </w:rPr>
        <w:t>人，双师素质教师1</w:t>
      </w:r>
      <w:r>
        <w:rPr>
          <w:rFonts w:ascii="仿宋" w:hAnsi="仿宋" w:eastAsia="仿宋" w:cs="宋体"/>
          <w:sz w:val="24"/>
          <w:szCs w:val="24"/>
        </w:rPr>
        <w:t>0</w:t>
      </w:r>
      <w:r>
        <w:rPr>
          <w:rFonts w:hint="eastAsia" w:ascii="仿宋" w:hAnsi="仿宋" w:eastAsia="仿宋" w:cs="宋体"/>
          <w:sz w:val="24"/>
          <w:szCs w:val="24"/>
        </w:rPr>
        <w:t>名，骨干教师6名，学科带头人</w:t>
      </w:r>
      <w:r>
        <w:rPr>
          <w:rFonts w:ascii="仿宋" w:hAnsi="仿宋" w:eastAsia="仿宋" w:cs="宋体"/>
          <w:sz w:val="24"/>
          <w:szCs w:val="24"/>
        </w:rPr>
        <w:t>4</w:t>
      </w:r>
      <w:r>
        <w:rPr>
          <w:rFonts w:hint="eastAsia" w:ascii="仿宋" w:hAnsi="仿宋" w:eastAsia="仿宋" w:cs="宋体"/>
          <w:sz w:val="24"/>
          <w:szCs w:val="24"/>
        </w:rPr>
        <w:t>名。专任教师队伍职称、年龄结构分布合理，互补性强，形成合理的梯队结构。</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（2）专任教师基本要求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具有高校教师资格和本专业领域有关证书；有理想信念、有道德情操、有扎实学识、有仁爱之心；具有医学美容技术相关专业本科及以上学历；具有扎实的美容理论功底和实践能力；具有较强信息化教学能力，能够开展课程教学改革和科学研究；每五年累计不少于 6 个月的行业企业实践经历。</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（3）专业带头人基本要求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熟悉美容专业技术和高职教育规律、实践经验丰富、教学效果好、在行业有一定影响、具有中学一级职称的“双师”教师。</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（4）兼职教师基本要求</w:t>
      </w:r>
    </w:p>
    <w:p>
      <w:pPr>
        <w:spacing w:line="360" w:lineRule="auto"/>
        <w:ind w:firstLine="480" w:firstLineChars="200"/>
        <w:rPr>
          <w:rFonts w:ascii="仿宋" w:hAnsi="仿宋" w:eastAsia="仿宋" w:cs="宋体"/>
          <w:color w:val="FF0000"/>
          <w:sz w:val="24"/>
          <w:szCs w:val="24"/>
        </w:rPr>
      </w:pPr>
      <w:r>
        <w:rPr>
          <w:rFonts w:hint="eastAsia" w:ascii="仿宋" w:hAnsi="仿宋" w:eastAsia="仿宋" w:cs="宋体"/>
          <w:sz w:val="24"/>
          <w:szCs w:val="24"/>
        </w:rPr>
        <w:t>主要从行业中具有丰富的工作经验者中聘任，具备良好的思想政治素质、职业道德和工匠精神，具有扎实的美容专业知识和丰富的实际工作经验，具有中级及以上相关专业职称，能承担专业课程教学、实习实训指导和学生职业发展规划指导等教学任务。</w:t>
      </w:r>
    </w:p>
    <w:p>
      <w:pPr>
        <w:spacing w:line="360" w:lineRule="auto"/>
        <w:ind w:firstLine="482" w:firstLineChars="200"/>
        <w:outlineLvl w:val="1"/>
        <w:rPr>
          <w:rFonts w:ascii="仿宋" w:hAnsi="仿宋" w:eastAsia="仿宋" w:cs="黑体"/>
          <w:b/>
          <w:bCs/>
          <w:kern w:val="0"/>
          <w:sz w:val="24"/>
          <w:szCs w:val="32"/>
        </w:rPr>
      </w:pPr>
      <w:r>
        <w:rPr>
          <w:rFonts w:hint="eastAsia" w:ascii="仿宋" w:hAnsi="仿宋" w:eastAsia="仿宋" w:cs="黑体"/>
          <w:b/>
          <w:bCs/>
          <w:kern w:val="0"/>
          <w:sz w:val="24"/>
          <w:szCs w:val="32"/>
        </w:rPr>
        <w:t>（二）教学设施</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学校设有本专业教学、实习实训所需的专业教室、实训室和实训基地，完全满足理论教学和理实一体化教学要求。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（1）专业教室基本条件</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配备黑（白）板、多媒体计算机、投影设备、音响设备，互联网接入或 WiFi 环境，并具有网络安全防护措施。安装应急照明装置并保持良好状态，符合紧急疏散要求、标志明显、保持逃生通道畅通无阻。</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（2）校内实训室基本要求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校内开设的基础课教学实验室包括：医学基础实验室、微生物实验室、美容化妆品实验室。</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按40名学生同时学习，需配备的基本的教学设备见表。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528"/>
        <w:gridCol w:w="5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tcBorders>
              <w:top w:val="thinThickSmallGap" w:color="auto" w:sz="24" w:space="0"/>
              <w:left w:val="nil"/>
            </w:tcBorders>
            <w:vAlign w:val="center"/>
          </w:tcPr>
          <w:p>
            <w:pPr>
              <w:jc w:val="center"/>
              <w:rPr>
                <w:rFonts w:ascii="Calibri" w:hAnsi="Calibri"/>
                <w:b/>
                <w:bCs/>
                <w:szCs w:val="21"/>
              </w:rPr>
            </w:pPr>
            <w:r>
              <w:rPr>
                <w:rFonts w:hint="eastAsia" w:ascii="Calibri" w:hAnsi="Calibri"/>
                <w:b/>
                <w:bCs/>
                <w:szCs w:val="21"/>
              </w:rPr>
              <w:t>类别</w:t>
            </w:r>
          </w:p>
        </w:tc>
        <w:tc>
          <w:tcPr>
            <w:tcW w:w="2528" w:type="dxa"/>
            <w:tcBorders>
              <w:top w:val="thinThickSmallGap" w:color="auto" w:sz="24" w:space="0"/>
            </w:tcBorders>
            <w:vAlign w:val="center"/>
          </w:tcPr>
          <w:p>
            <w:pPr>
              <w:jc w:val="center"/>
              <w:rPr>
                <w:rFonts w:ascii="Calibri" w:hAnsi="Calibri"/>
                <w:b/>
                <w:bCs/>
                <w:szCs w:val="21"/>
              </w:rPr>
            </w:pPr>
            <w:r>
              <w:rPr>
                <w:rFonts w:hint="eastAsia" w:ascii="Calibri" w:hAnsi="Calibri"/>
                <w:b/>
                <w:bCs/>
                <w:szCs w:val="21"/>
              </w:rPr>
              <w:t>实验（实训）室名称</w:t>
            </w:r>
          </w:p>
        </w:tc>
        <w:tc>
          <w:tcPr>
            <w:tcW w:w="5092" w:type="dxa"/>
            <w:tcBorders>
              <w:top w:val="thinThickSmallGap" w:color="auto" w:sz="24" w:space="0"/>
              <w:right w:val="nil"/>
            </w:tcBorders>
            <w:vAlign w:val="center"/>
          </w:tcPr>
          <w:p>
            <w:pPr>
              <w:jc w:val="center"/>
              <w:rPr>
                <w:rFonts w:ascii="Calibri" w:hAnsi="Calibri"/>
                <w:b/>
                <w:bCs/>
                <w:szCs w:val="21"/>
              </w:rPr>
            </w:pPr>
            <w:r>
              <w:rPr>
                <w:rFonts w:hint="eastAsia" w:ascii="Calibri" w:hAnsi="Calibri"/>
                <w:b/>
                <w:bCs/>
                <w:szCs w:val="21"/>
              </w:rPr>
              <w:t>主要</w:t>
            </w:r>
            <w:r>
              <w:rPr>
                <w:rFonts w:hint="eastAsia" w:ascii="宋体" w:hAnsi="宋体"/>
                <w:b/>
                <w:szCs w:val="21"/>
              </w:rPr>
              <w:t>健康学院现有实验实训</w:t>
            </w:r>
            <w:r>
              <w:rPr>
                <w:rFonts w:hint="eastAsia" w:ascii="宋体" w:hAnsi="宋体"/>
                <w:b/>
                <w:bCs/>
                <w:szCs w:val="21"/>
              </w:rPr>
              <w:t>教学条件</w:t>
            </w:r>
            <w:r>
              <w:rPr>
                <w:rFonts w:hint="eastAsia" w:ascii="Calibri" w:hAnsi="Calibri"/>
                <w:b/>
                <w:bCs/>
                <w:szCs w:val="21"/>
              </w:rPr>
              <w:t>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Merge w:val="restart"/>
            <w:tcBorders>
              <w:left w:val="nil"/>
            </w:tcBorders>
            <w:vAlign w:val="center"/>
          </w:tcPr>
          <w:p>
            <w:pPr>
              <w:jc w:val="center"/>
              <w:rPr>
                <w:rFonts w:ascii="Calibri" w:hAnsi="Calibri"/>
                <w:szCs w:val="21"/>
              </w:rPr>
            </w:pPr>
          </w:p>
        </w:tc>
        <w:tc>
          <w:tcPr>
            <w:tcW w:w="2528" w:type="dxa"/>
            <w:vAlign w:val="center"/>
          </w:tcPr>
          <w:p>
            <w:pPr>
              <w:jc w:val="center"/>
              <w:rPr>
                <w:rFonts w:ascii="Calibri" w:hAnsi="Calibri"/>
                <w:szCs w:val="21"/>
              </w:rPr>
            </w:pPr>
            <w:r>
              <w:rPr>
                <w:rFonts w:hint="eastAsia" w:ascii="Calibri" w:hAnsi="Calibri"/>
                <w:szCs w:val="21"/>
              </w:rPr>
              <w:t>自然疗法实训室</w:t>
            </w:r>
          </w:p>
        </w:tc>
        <w:tc>
          <w:tcPr>
            <w:tcW w:w="5092" w:type="dxa"/>
            <w:tcBorders>
              <w:right w:val="nil"/>
            </w:tcBorders>
            <w:vAlign w:val="center"/>
          </w:tcPr>
          <w:p>
            <w:pPr>
              <w:jc w:val="left"/>
              <w:rPr>
                <w:rFonts w:ascii="Calibri" w:hAnsi="Calibri"/>
                <w:szCs w:val="21"/>
              </w:rPr>
            </w:pPr>
            <w:r>
              <w:rPr>
                <w:rFonts w:hint="eastAsia" w:ascii="Calibri" w:hAnsi="Calibri"/>
                <w:b/>
                <w:bCs/>
                <w:szCs w:val="21"/>
              </w:rPr>
              <w:t>温水浴池</w:t>
            </w:r>
            <w:r>
              <w:rPr>
                <w:rFonts w:hint="eastAsia" w:ascii="Calibri" w:hAnsi="Calibri"/>
                <w:szCs w:val="21"/>
              </w:rPr>
              <w:t>，</w:t>
            </w:r>
            <w:r>
              <w:rPr>
                <w:rFonts w:hint="eastAsia" w:ascii="Calibri" w:hAnsi="Calibri"/>
                <w:b/>
                <w:bCs/>
                <w:szCs w:val="21"/>
              </w:rPr>
              <w:t>干热蒸汽房</w:t>
            </w:r>
            <w:r>
              <w:rPr>
                <w:rFonts w:hint="eastAsia" w:ascii="Calibri" w:hAnsi="Calibri"/>
                <w:szCs w:val="21"/>
              </w:rPr>
              <w:t>，</w:t>
            </w:r>
            <w:r>
              <w:rPr>
                <w:rFonts w:hint="eastAsia" w:ascii="Calibri" w:hAnsi="Calibri"/>
                <w:b/>
                <w:bCs/>
                <w:szCs w:val="21"/>
              </w:rPr>
              <w:t>湿热蒸汽房</w:t>
            </w:r>
            <w:r>
              <w:rPr>
                <w:rFonts w:hint="eastAsia" w:ascii="Calibri" w:hAnsi="Calibri"/>
                <w:szCs w:val="21"/>
              </w:rPr>
              <w:t>，</w:t>
            </w:r>
            <w:r>
              <w:rPr>
                <w:rFonts w:hint="eastAsia" w:ascii="Calibri" w:hAnsi="Calibri"/>
                <w:b/>
                <w:bCs/>
                <w:szCs w:val="21"/>
              </w:rPr>
              <w:t>中药熏蒸舱</w:t>
            </w:r>
            <w:r>
              <w:rPr>
                <w:rFonts w:hint="eastAsia" w:ascii="Calibri" w:hAnsi="Calibri"/>
                <w:szCs w:val="21"/>
              </w:rPr>
              <w:t>，木制浴桶，</w:t>
            </w:r>
            <w:r>
              <w:rPr>
                <w:rFonts w:hint="eastAsia" w:ascii="Calibri" w:hAnsi="Calibri"/>
                <w:b/>
                <w:bCs/>
                <w:szCs w:val="21"/>
              </w:rPr>
              <w:t>移动吊臂</w:t>
            </w:r>
            <w:r>
              <w:rPr>
                <w:rFonts w:hint="eastAsia" w:ascii="Calibri" w:hAnsi="Calibri"/>
                <w:szCs w:val="21"/>
              </w:rPr>
              <w:t>，多功能坐浴椅，淋浴器等。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Merge w:val="continue"/>
            <w:tcBorders>
              <w:left w:val="nil"/>
            </w:tcBorders>
            <w:vAlign w:val="center"/>
          </w:tcPr>
          <w:p>
            <w:pPr>
              <w:jc w:val="center"/>
              <w:rPr>
                <w:rFonts w:ascii="Calibri" w:hAnsi="Calibri"/>
                <w:szCs w:val="21"/>
              </w:rPr>
            </w:pPr>
          </w:p>
        </w:tc>
        <w:tc>
          <w:tcPr>
            <w:tcW w:w="2528" w:type="dxa"/>
            <w:vAlign w:val="center"/>
          </w:tcPr>
          <w:p>
            <w:pPr>
              <w:jc w:val="center"/>
              <w:rPr>
                <w:rFonts w:ascii="Calibri" w:hAnsi="Calibri"/>
                <w:szCs w:val="21"/>
              </w:rPr>
            </w:pPr>
            <w:r>
              <w:rPr>
                <w:rFonts w:hint="eastAsia" w:ascii="Calibri" w:hAnsi="Calibri"/>
                <w:szCs w:val="21"/>
              </w:rPr>
              <w:t>中医养生保健技能实训室</w:t>
            </w:r>
          </w:p>
        </w:tc>
        <w:tc>
          <w:tcPr>
            <w:tcW w:w="5092" w:type="dxa"/>
            <w:tcBorders>
              <w:right w:val="nil"/>
            </w:tcBorders>
            <w:vAlign w:val="center"/>
          </w:tcPr>
          <w:p>
            <w:pPr>
              <w:jc w:val="left"/>
              <w:rPr>
                <w:rFonts w:ascii="Calibri" w:hAnsi="Calibri"/>
                <w:b/>
                <w:bCs/>
                <w:szCs w:val="21"/>
              </w:rPr>
            </w:pPr>
            <w:r>
              <w:rPr>
                <w:rFonts w:hint="eastAsia" w:ascii="Calibri" w:hAnsi="Calibri"/>
                <w:szCs w:val="21"/>
              </w:rPr>
              <w:t>经络挂图、艾灸、火罐，刮痧板、多媒体针灸穴位发光模型、</w:t>
            </w:r>
            <w:r>
              <w:rPr>
                <w:rFonts w:hint="eastAsia" w:ascii="Calibri" w:hAnsi="Calibri"/>
                <w:b/>
                <w:bCs/>
                <w:szCs w:val="21"/>
              </w:rPr>
              <w:t>电针仪</w:t>
            </w:r>
            <w:r>
              <w:rPr>
                <w:rFonts w:hint="eastAsia" w:ascii="Calibri" w:hAnsi="Calibri"/>
                <w:szCs w:val="21"/>
              </w:rPr>
              <w:t>，</w:t>
            </w:r>
            <w:r>
              <w:rPr>
                <w:rFonts w:hint="eastAsia" w:ascii="Calibri" w:hAnsi="Calibri"/>
                <w:b/>
                <w:bCs/>
                <w:szCs w:val="21"/>
              </w:rPr>
              <w:t>中药熏蒸舱、</w:t>
            </w:r>
            <w:r>
              <w:rPr>
                <w:rFonts w:hint="eastAsia" w:ascii="Calibri" w:hAnsi="Calibri"/>
                <w:szCs w:val="21"/>
              </w:rPr>
              <w:t>按摩床，按摩凳，教学光碟，电脑，投影，多媒体中控等。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Merge w:val="continue"/>
            <w:tcBorders>
              <w:left w:val="nil"/>
            </w:tcBorders>
            <w:vAlign w:val="center"/>
          </w:tcPr>
          <w:p>
            <w:pPr>
              <w:jc w:val="center"/>
              <w:rPr>
                <w:rFonts w:ascii="Calibri" w:hAnsi="Calibri"/>
                <w:szCs w:val="21"/>
              </w:rPr>
            </w:pPr>
          </w:p>
        </w:tc>
        <w:tc>
          <w:tcPr>
            <w:tcW w:w="2528" w:type="dxa"/>
            <w:vAlign w:val="center"/>
          </w:tcPr>
          <w:p>
            <w:pPr>
              <w:jc w:val="center"/>
              <w:rPr>
                <w:rFonts w:ascii="Calibri" w:hAnsi="Calibri"/>
                <w:szCs w:val="21"/>
              </w:rPr>
            </w:pPr>
            <w:r>
              <w:rPr>
                <w:rFonts w:hint="eastAsia" w:ascii="Calibri" w:hAnsi="Calibri"/>
                <w:szCs w:val="21"/>
              </w:rPr>
              <w:t>美容保健仪器实训室</w:t>
            </w:r>
          </w:p>
        </w:tc>
        <w:tc>
          <w:tcPr>
            <w:tcW w:w="5092" w:type="dxa"/>
            <w:tcBorders>
              <w:right w:val="nil"/>
            </w:tcBorders>
            <w:vAlign w:val="center"/>
          </w:tcPr>
          <w:p>
            <w:pPr>
              <w:jc w:val="left"/>
              <w:rPr>
                <w:rFonts w:ascii="Calibri" w:hAnsi="Calibri"/>
                <w:szCs w:val="21"/>
              </w:rPr>
            </w:pPr>
            <w:r>
              <w:rPr>
                <w:rFonts w:hint="eastAsia" w:ascii="Calibri" w:hAnsi="Calibri"/>
                <w:b/>
                <w:bCs/>
                <w:szCs w:val="21"/>
              </w:rPr>
              <w:t>超声波美容仪</w:t>
            </w:r>
            <w:r>
              <w:rPr>
                <w:rFonts w:hint="eastAsia" w:ascii="Calibri" w:hAnsi="Calibri"/>
                <w:szCs w:val="21"/>
              </w:rPr>
              <w:t>，融蜡仪，</w:t>
            </w:r>
            <w:r>
              <w:rPr>
                <w:rFonts w:hint="eastAsia" w:ascii="Calibri" w:hAnsi="Calibri"/>
                <w:b/>
                <w:bCs/>
                <w:szCs w:val="21"/>
              </w:rPr>
              <w:t>高频电疗仪</w:t>
            </w:r>
            <w:r>
              <w:rPr>
                <w:rFonts w:hint="eastAsia" w:ascii="Calibri" w:hAnsi="Calibri"/>
                <w:szCs w:val="21"/>
              </w:rPr>
              <w:t>，</w:t>
            </w:r>
            <w:r>
              <w:rPr>
                <w:rFonts w:hint="eastAsia" w:ascii="Calibri" w:hAnsi="Calibri"/>
                <w:b/>
                <w:bCs/>
                <w:szCs w:val="21"/>
              </w:rPr>
              <w:t>贾法尼</w:t>
            </w:r>
            <w:r>
              <w:rPr>
                <w:rFonts w:hint="eastAsia" w:ascii="Calibri" w:hAnsi="Calibri"/>
                <w:szCs w:val="21"/>
              </w:rPr>
              <w:t>，热喷仪，魔术手，冷喷仪，电动面刷机，皮肤放大仪，皮肤分析仪，电热手套，红外线太空衣，红外线太空仓，</w:t>
            </w:r>
            <w:r>
              <w:rPr>
                <w:rFonts w:hint="eastAsia" w:ascii="Calibri" w:hAnsi="Calibri"/>
                <w:b/>
                <w:bCs/>
                <w:szCs w:val="21"/>
              </w:rPr>
              <w:t>吸喷仪</w:t>
            </w:r>
            <w:r>
              <w:rPr>
                <w:rFonts w:hint="eastAsia" w:ascii="Calibri" w:hAnsi="Calibri"/>
                <w:szCs w:val="21"/>
              </w:rPr>
              <w:t>，皮肤测试仪，电动浴脚盆，</w:t>
            </w:r>
            <w:r>
              <w:rPr>
                <w:rFonts w:hint="eastAsia" w:ascii="Calibri" w:hAnsi="Calibri"/>
                <w:b/>
                <w:bCs/>
                <w:szCs w:val="21"/>
              </w:rPr>
              <w:t>高周波美容仪</w:t>
            </w:r>
            <w:r>
              <w:rPr>
                <w:rFonts w:hint="eastAsia" w:ascii="Calibri" w:hAnsi="Calibri"/>
                <w:szCs w:val="21"/>
              </w:rPr>
              <w:t>，蜡疗仪，振脂仪，数码全效减肥丰胸仪，</w:t>
            </w:r>
            <w:r>
              <w:rPr>
                <w:rFonts w:hint="eastAsia" w:ascii="Calibri" w:hAnsi="Calibri"/>
                <w:b/>
                <w:bCs/>
                <w:szCs w:val="21"/>
              </w:rPr>
              <w:t>身体贾发尼</w:t>
            </w:r>
            <w:r>
              <w:rPr>
                <w:rFonts w:hint="eastAsia" w:ascii="Calibri" w:hAnsi="Calibri"/>
                <w:szCs w:val="21"/>
              </w:rPr>
              <w:t>，气压淋巴排毒仪，全电脑智能经络仪，</w:t>
            </w:r>
            <w:r>
              <w:rPr>
                <w:rFonts w:hint="eastAsia" w:ascii="Calibri" w:hAnsi="Calibri"/>
                <w:b/>
                <w:bCs/>
                <w:szCs w:val="21"/>
              </w:rPr>
              <w:t>E光修复仪</w:t>
            </w:r>
            <w:r>
              <w:rPr>
                <w:rFonts w:hint="eastAsia" w:ascii="Calibri" w:hAnsi="Calibri"/>
                <w:szCs w:val="21"/>
              </w:rPr>
              <w:t>，微电脑经络减肥仪，热石机，</w:t>
            </w:r>
            <w:r>
              <w:rPr>
                <w:rFonts w:hint="eastAsia" w:ascii="Calibri" w:hAnsi="Calibri"/>
                <w:b/>
                <w:bCs/>
                <w:szCs w:val="21"/>
              </w:rPr>
              <w:t>魔镜仪</w:t>
            </w:r>
            <w:r>
              <w:rPr>
                <w:rFonts w:hint="eastAsia" w:ascii="Calibri" w:hAnsi="Calibri"/>
                <w:szCs w:val="21"/>
              </w:rPr>
              <w:t>，</w:t>
            </w:r>
            <w:r>
              <w:rPr>
                <w:rFonts w:hint="eastAsia" w:ascii="Calibri" w:hAnsi="Calibri"/>
                <w:b/>
                <w:bCs/>
                <w:szCs w:val="21"/>
              </w:rPr>
              <w:t>E光靓肤宝</w:t>
            </w:r>
            <w:r>
              <w:rPr>
                <w:rFonts w:hint="eastAsia" w:ascii="Calibri" w:hAnsi="Calibri"/>
                <w:szCs w:val="21"/>
              </w:rPr>
              <w:t>，</w:t>
            </w:r>
            <w:r>
              <w:rPr>
                <w:rFonts w:hint="eastAsia" w:ascii="Calibri" w:hAnsi="Calibri"/>
                <w:b/>
                <w:bCs/>
                <w:szCs w:val="21"/>
              </w:rPr>
              <w:t>真空聚能紧肤宝</w:t>
            </w:r>
            <w:r>
              <w:rPr>
                <w:rFonts w:hint="eastAsia" w:ascii="Calibri" w:hAnsi="Calibri"/>
                <w:szCs w:val="21"/>
              </w:rPr>
              <w:t>，</w:t>
            </w:r>
            <w:r>
              <w:rPr>
                <w:rFonts w:hint="eastAsia" w:ascii="Calibri" w:hAnsi="Calibri"/>
                <w:b/>
                <w:bCs/>
                <w:szCs w:val="21"/>
              </w:rPr>
              <w:t>细胞氧疗仪 制氧美塑仪</w:t>
            </w:r>
            <w:r>
              <w:rPr>
                <w:rFonts w:hint="eastAsia" w:ascii="Calibri" w:hAnsi="Calibri"/>
                <w:szCs w:val="21"/>
              </w:rPr>
              <w:t>，</w:t>
            </w:r>
            <w:r>
              <w:rPr>
                <w:rFonts w:hint="eastAsia" w:ascii="Calibri" w:hAnsi="Calibri"/>
                <w:b/>
                <w:bCs/>
                <w:szCs w:val="21"/>
              </w:rPr>
              <w:t>大型美体塑身仪</w:t>
            </w:r>
            <w:r>
              <w:rPr>
                <w:rFonts w:hint="eastAsia" w:ascii="Calibri" w:hAnsi="Calibri"/>
                <w:szCs w:val="21"/>
              </w:rPr>
              <w:t>，</w:t>
            </w:r>
            <w:r>
              <w:rPr>
                <w:rFonts w:hint="eastAsia" w:ascii="Calibri" w:hAnsi="Calibri"/>
                <w:b/>
                <w:bCs/>
                <w:szCs w:val="21"/>
              </w:rPr>
              <w:t>低频能量爆脂仪器</w:t>
            </w:r>
            <w:r>
              <w:rPr>
                <w:rFonts w:hint="eastAsia" w:ascii="Calibri" w:hAnsi="Calibri"/>
                <w:szCs w:val="21"/>
              </w:rPr>
              <w:t>，</w:t>
            </w:r>
            <w:r>
              <w:rPr>
                <w:rFonts w:hint="eastAsia" w:ascii="Calibri" w:hAnsi="Calibri"/>
                <w:b/>
                <w:bCs/>
                <w:szCs w:val="21"/>
              </w:rPr>
              <w:t>活力抗压舱</w:t>
            </w:r>
            <w:r>
              <w:rPr>
                <w:rFonts w:hint="eastAsia" w:ascii="Calibri" w:hAnsi="Calibri"/>
                <w:szCs w:val="21"/>
              </w:rPr>
              <w:t>，</w:t>
            </w:r>
            <w:r>
              <w:rPr>
                <w:rFonts w:hint="eastAsia" w:ascii="Calibri" w:hAnsi="Calibri"/>
                <w:b/>
                <w:bCs/>
                <w:szCs w:val="21"/>
              </w:rPr>
              <w:t>蒸汽淋浴舱</w:t>
            </w:r>
            <w:r>
              <w:rPr>
                <w:rFonts w:hint="eastAsia" w:ascii="Calibri" w:hAnsi="Calibri"/>
                <w:szCs w:val="21"/>
              </w:rPr>
              <w:t>，</w:t>
            </w:r>
            <w:r>
              <w:rPr>
                <w:rFonts w:hint="eastAsia" w:ascii="Calibri" w:hAnsi="Calibri"/>
                <w:b/>
                <w:bCs/>
                <w:szCs w:val="21"/>
              </w:rPr>
              <w:t>时空隧道舱</w:t>
            </w:r>
            <w:r>
              <w:rPr>
                <w:rFonts w:hint="eastAsia" w:ascii="Calibri" w:hAnsi="Calibri"/>
                <w:szCs w:val="21"/>
              </w:rPr>
              <w:t>，全能气压排毒瘦身太空衣，</w:t>
            </w:r>
            <w:r>
              <w:rPr>
                <w:rFonts w:hint="eastAsia" w:ascii="Calibri" w:hAnsi="Calibri"/>
                <w:b/>
                <w:bCs/>
                <w:szCs w:val="21"/>
              </w:rPr>
              <w:t>面部法拉弟电疗仪</w:t>
            </w:r>
            <w:r>
              <w:rPr>
                <w:rFonts w:hint="eastAsia" w:ascii="Calibri" w:hAnsi="Calibri"/>
                <w:szCs w:val="21"/>
              </w:rPr>
              <w:t>，浴足木盆，</w:t>
            </w:r>
            <w:r>
              <w:rPr>
                <w:rFonts w:hint="eastAsia" w:ascii="Calibri" w:hAnsi="Calibri"/>
                <w:b/>
                <w:bCs/>
                <w:szCs w:val="21"/>
              </w:rPr>
              <w:t>身体成分分析仪，</w:t>
            </w:r>
            <w:r>
              <w:rPr>
                <w:rFonts w:hint="eastAsia" w:ascii="Calibri" w:hAnsi="Calibri"/>
                <w:szCs w:val="21"/>
              </w:rPr>
              <w:t>电脑，投影，多媒体中控，美容床，美容凳，空调等。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Merge w:val="continue"/>
            <w:tcBorders>
              <w:left w:val="nil"/>
            </w:tcBorders>
            <w:vAlign w:val="center"/>
          </w:tcPr>
          <w:p>
            <w:pPr>
              <w:jc w:val="center"/>
              <w:rPr>
                <w:rFonts w:ascii="Calibri" w:hAnsi="Calibri"/>
                <w:szCs w:val="21"/>
              </w:rPr>
            </w:pPr>
          </w:p>
        </w:tc>
        <w:tc>
          <w:tcPr>
            <w:tcW w:w="2528" w:type="dxa"/>
            <w:vAlign w:val="center"/>
          </w:tcPr>
          <w:p>
            <w:pPr>
              <w:jc w:val="center"/>
              <w:rPr>
                <w:rFonts w:ascii="Calibri" w:hAnsi="Calibri"/>
                <w:szCs w:val="21"/>
              </w:rPr>
            </w:pPr>
            <w:r>
              <w:rPr>
                <w:rFonts w:hint="eastAsia" w:ascii="Calibri" w:hAnsi="Calibri"/>
                <w:szCs w:val="21"/>
              </w:rPr>
              <w:t>医学美容综合实训室</w:t>
            </w:r>
          </w:p>
        </w:tc>
        <w:tc>
          <w:tcPr>
            <w:tcW w:w="5092" w:type="dxa"/>
            <w:tcBorders>
              <w:right w:val="nil"/>
            </w:tcBorders>
            <w:vAlign w:val="center"/>
          </w:tcPr>
          <w:p>
            <w:pPr>
              <w:jc w:val="left"/>
              <w:rPr>
                <w:rFonts w:ascii="Calibri" w:hAnsi="Calibri"/>
                <w:szCs w:val="21"/>
              </w:rPr>
            </w:pPr>
            <w:r>
              <w:rPr>
                <w:rFonts w:hint="eastAsia" w:ascii="Calibri" w:hAnsi="Calibri"/>
                <w:b/>
                <w:bCs/>
                <w:szCs w:val="21"/>
              </w:rPr>
              <w:t>美容床</w:t>
            </w:r>
            <w:r>
              <w:rPr>
                <w:rFonts w:hint="eastAsia" w:ascii="Calibri" w:hAnsi="Calibri"/>
                <w:szCs w:val="21"/>
              </w:rPr>
              <w:t>，美容凳，空调，美容推车电脑，投影，多媒体中控，空调等。</w:t>
            </w:r>
          </w:p>
        </w:tc>
      </w:tr>
    </w:tbl>
    <w:p>
      <w:pPr>
        <w:spacing w:line="360" w:lineRule="auto"/>
        <w:ind w:firstLine="480" w:firstLineChars="200"/>
        <w:rPr>
          <w:rFonts w:ascii="宋体" w:hAnsi="宋体" w:cs="宋体"/>
          <w:sz w:val="24"/>
        </w:rPr>
      </w:pP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（3）校外实训基地要求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具有稳定的校外实训基地。能够提供开展医学美容技术专业学生实习实训活动，实习实训设施齐备，能提供医学美容技术专业学生相关实习实训岗位，能涵盖当前美容行业发展的主流技术，可接纳一定规模的学生实习实训；能够配备相应数量的指导教师对学生实习进行指导和管理。严格执行《高等职业学校医学美容技术专业顶岗实习标准》相关要求内容。</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医学美容技术专业建立的校外实训基地主要承担了暑期学生企业见习及应届毕业生顶岗实习的工作，校外实训基地为学生提供了真实的工作场景及真实的工作岗位，学生能够在这样的环境中完善在仿真实训中不能实现的专业内容。</w:t>
      </w:r>
    </w:p>
    <w:p>
      <w:pPr>
        <w:spacing w:line="360" w:lineRule="auto"/>
        <w:ind w:firstLine="482" w:firstLineChars="200"/>
        <w:outlineLvl w:val="1"/>
        <w:rPr>
          <w:rFonts w:ascii="仿宋" w:hAnsi="仿宋" w:eastAsia="仿宋" w:cs="Times New Roman"/>
          <w:sz w:val="24"/>
          <w:szCs w:val="24"/>
        </w:rPr>
      </w:pPr>
      <w:r>
        <w:rPr>
          <w:rFonts w:hint="eastAsia" w:ascii="仿宋" w:hAnsi="仿宋" w:eastAsia="仿宋" w:cs="黑体"/>
          <w:b/>
          <w:bCs/>
          <w:kern w:val="0"/>
          <w:sz w:val="24"/>
          <w:szCs w:val="32"/>
        </w:rPr>
        <w:t>（三）教学资源</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主要包括能够满足学生专业学习、教师专业教学研究和教学实施需要的教材、图书及数字化资源等。</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（1）教材选用基本要求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优先选用近3年出版的中职国家专业规划教材、专业获奖教材，禁止不合格的教材进入课堂。围绕专业教学标准，依据专业办学特色与需要编写特色教材或活页教材（包括文字教材、实物教材和声像视听教材等），突出专业人才职业能力培养的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（2）图书文献配备基本要求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图书文献配备能满足人才培养、专业建设、教科研等工作的需要，专业图书资料生均不少于35册，方便师生查询、借阅。专业类图书文献主要包括：行业政策法规、行业标准、技术规范以及实验实训手册等；专业操作技术类图书和实务案例类图书；一定种类的专业学术期刊。</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（3）数字教学资源配置基本要求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建设、配备与本专业有关的音视频素材、教学课件、数字化教学案例库、虚拟仿真软件、数字教材等专业教学资源库，种类丰富、形式多样、使用便捷、动态更新、满足教学。</w:t>
      </w:r>
    </w:p>
    <w:p>
      <w:pPr>
        <w:adjustRightInd w:val="0"/>
        <w:spacing w:line="360" w:lineRule="auto"/>
        <w:ind w:firstLine="482" w:firstLineChars="200"/>
        <w:outlineLvl w:val="2"/>
        <w:rPr>
          <w:rFonts w:ascii="仿宋" w:hAnsi="仿宋" w:eastAsia="仿宋" w:cs="Times New Roman"/>
          <w:sz w:val="24"/>
          <w:szCs w:val="24"/>
        </w:rPr>
      </w:pPr>
      <w:r>
        <w:rPr>
          <w:rFonts w:hint="eastAsia" w:ascii="仿宋" w:hAnsi="仿宋" w:eastAsia="仿宋" w:cs="黑体"/>
          <w:b/>
          <w:bCs/>
          <w:kern w:val="0"/>
          <w:sz w:val="24"/>
          <w:szCs w:val="32"/>
        </w:rPr>
        <w:t>（四）教学方法</w:t>
      </w:r>
      <w:r>
        <w:rPr>
          <w:rFonts w:hint="eastAsia" w:ascii="仿宋" w:hAnsi="仿宋" w:eastAsia="仿宋" w:cs="Times New Roman"/>
          <w:sz w:val="24"/>
          <w:szCs w:val="24"/>
        </w:rPr>
        <w:t>。</w:t>
      </w:r>
    </w:p>
    <w:p>
      <w:pPr>
        <w:adjustRightInd w:val="0"/>
        <w:spacing w:line="360" w:lineRule="auto"/>
        <w:ind w:firstLine="480" w:firstLineChars="200"/>
        <w:outlineLvl w:val="2"/>
        <w:rPr>
          <w:rFonts w:ascii="仿宋" w:hAnsi="仿宋" w:eastAsia="仿宋" w:cs="宋体"/>
          <w:sz w:val="24"/>
          <w:szCs w:val="24"/>
        </w:rPr>
      </w:pPr>
      <w:r>
        <w:rPr>
          <w:rFonts w:hint="eastAsia" w:ascii="仿宋" w:hAnsi="仿宋" w:eastAsia="仿宋" w:cs="宋体"/>
          <w:sz w:val="24"/>
          <w:szCs w:val="24"/>
        </w:rPr>
        <w:t>教学主要强化专业的实践性和操作性。在教学中，根据学生特点，激发学生学习兴趣；实行任务驱动、项目导向、理实一体等多种形式的“做中学、做中教”教学模式。专业教师在教学过程中主要将理论联系实际，在理论学习的同时，突出技能操作与训练。理论教学采取课堂讲授、讨论、专题讲座等多种形式，开发多媒体功能，运用图像、动画、视频等多媒体教学，特别是针对教学要求拍摄录像等制作课件、教材光盘。实践教学可采用课程实训、校内综合实训、校内经营实训、校外实习、毕业实习等多种形式进行。要善于多种教学方法和手段的灵活使用，将理论知识与实际工作相结合应用。</w:t>
      </w:r>
    </w:p>
    <w:p>
      <w:pPr>
        <w:adjustRightInd w:val="0"/>
        <w:spacing w:line="360" w:lineRule="auto"/>
        <w:ind w:firstLine="482" w:firstLineChars="200"/>
        <w:outlineLvl w:val="2"/>
        <w:rPr>
          <w:rFonts w:ascii="仿宋" w:hAnsi="仿宋" w:eastAsia="仿宋" w:cs="Times New Roman"/>
          <w:sz w:val="24"/>
          <w:szCs w:val="24"/>
        </w:rPr>
      </w:pPr>
      <w:r>
        <w:rPr>
          <w:rFonts w:hint="eastAsia" w:ascii="仿宋" w:hAnsi="仿宋" w:eastAsia="仿宋" w:cs="黑体"/>
          <w:b/>
          <w:bCs/>
          <w:kern w:val="0"/>
          <w:sz w:val="24"/>
          <w:szCs w:val="32"/>
        </w:rPr>
        <w:t>（五）学习评价</w:t>
      </w:r>
      <w:r>
        <w:rPr>
          <w:rFonts w:hint="eastAsia" w:ascii="仿宋" w:hAnsi="仿宋" w:eastAsia="仿宋" w:cs="Times New Roman"/>
          <w:sz w:val="24"/>
          <w:szCs w:val="24"/>
        </w:rPr>
        <w:t>。</w:t>
      </w:r>
    </w:p>
    <w:p>
      <w:pPr>
        <w:adjustRightInd w:val="0"/>
        <w:spacing w:line="360" w:lineRule="auto"/>
        <w:ind w:firstLine="480" w:firstLineChars="200"/>
        <w:outlineLvl w:val="2"/>
        <w:rPr>
          <w:rFonts w:ascii="仿宋" w:hAnsi="仿宋" w:eastAsia="仿宋" w:cs="宋体"/>
          <w:sz w:val="24"/>
          <w:szCs w:val="24"/>
        </w:rPr>
      </w:pPr>
      <w:r>
        <w:rPr>
          <w:rFonts w:hint="eastAsia" w:ascii="仿宋" w:hAnsi="仿宋" w:eastAsia="仿宋" w:cs="宋体"/>
          <w:sz w:val="24"/>
          <w:szCs w:val="24"/>
        </w:rPr>
        <w:t>（1）对学生的学业考核评价内容应兼顾认知、技能、情感等方面。</w:t>
      </w:r>
    </w:p>
    <w:p>
      <w:pPr>
        <w:adjustRightInd w:val="0"/>
        <w:spacing w:line="360" w:lineRule="auto"/>
        <w:ind w:firstLine="480" w:firstLineChars="200"/>
        <w:outlineLvl w:val="2"/>
        <w:rPr>
          <w:rFonts w:ascii="仿宋" w:hAnsi="仿宋" w:eastAsia="仿宋" w:cs="宋体"/>
          <w:sz w:val="24"/>
          <w:szCs w:val="24"/>
        </w:rPr>
      </w:pPr>
      <w:r>
        <w:rPr>
          <w:rFonts w:hint="eastAsia" w:ascii="仿宋" w:hAnsi="仿宋" w:eastAsia="仿宋" w:cs="宋体"/>
          <w:sz w:val="24"/>
          <w:szCs w:val="24"/>
        </w:rPr>
        <w:t>（2）突出过程性与阶段性评价，结合课堂提问、技能操作，加强实践性教学环节的教学评价。强调目标评价和理论与实践一体化评价，引导学生改变传统的学习方法，培养自主学习能力。</w:t>
      </w:r>
    </w:p>
    <w:p>
      <w:pPr>
        <w:adjustRightInd w:val="0"/>
        <w:spacing w:line="360" w:lineRule="auto"/>
        <w:ind w:firstLine="480" w:firstLineChars="200"/>
        <w:outlineLvl w:val="2"/>
        <w:rPr>
          <w:rFonts w:ascii="仿宋" w:hAnsi="仿宋" w:eastAsia="仿宋" w:cs="宋体"/>
          <w:sz w:val="24"/>
          <w:szCs w:val="24"/>
        </w:rPr>
      </w:pPr>
      <w:r>
        <w:rPr>
          <w:rFonts w:hint="eastAsia" w:ascii="仿宋" w:hAnsi="仿宋" w:eastAsia="仿宋" w:cs="宋体"/>
          <w:sz w:val="24"/>
          <w:szCs w:val="24"/>
        </w:rPr>
        <w:t>（3）关注评价的多元性。评价应体现评价内容、评价标准、评价主体、</w:t>
      </w:r>
    </w:p>
    <w:p>
      <w:pPr>
        <w:adjustRightInd w:val="0"/>
        <w:spacing w:line="360" w:lineRule="auto"/>
        <w:ind w:firstLine="480" w:firstLineChars="200"/>
        <w:outlineLvl w:val="2"/>
        <w:rPr>
          <w:rFonts w:ascii="仿宋" w:hAnsi="仿宋" w:eastAsia="仿宋" w:cs="宋体"/>
          <w:sz w:val="24"/>
          <w:szCs w:val="24"/>
        </w:rPr>
      </w:pPr>
      <w:r>
        <w:rPr>
          <w:rFonts w:hint="eastAsia" w:ascii="仿宋" w:hAnsi="仿宋" w:eastAsia="仿宋" w:cs="宋体"/>
          <w:sz w:val="24"/>
          <w:szCs w:val="24"/>
        </w:rPr>
        <w:t>评价方式、评价过程的多元化。</w:t>
      </w:r>
    </w:p>
    <w:p>
      <w:pPr>
        <w:adjustRightInd w:val="0"/>
        <w:spacing w:line="360" w:lineRule="auto"/>
        <w:ind w:firstLine="480" w:firstLineChars="200"/>
        <w:outlineLvl w:val="2"/>
        <w:rPr>
          <w:rFonts w:ascii="仿宋" w:hAnsi="仿宋" w:eastAsia="仿宋" w:cs="宋体"/>
          <w:sz w:val="24"/>
          <w:szCs w:val="24"/>
        </w:rPr>
      </w:pPr>
      <w:r>
        <w:rPr>
          <w:rFonts w:hint="eastAsia" w:ascii="仿宋" w:hAnsi="仿宋" w:eastAsia="仿宋" w:cs="宋体"/>
          <w:sz w:val="24"/>
          <w:szCs w:val="24"/>
        </w:rPr>
        <w:t>评价主体的多元性，包括专业专任教师、专业兼职教师、专业人员，以及学生互评等；评价内容、标准、方式的多元性：如观察、口试、笔试、技能操作、案例分析处理、技术综合运用、顶岗操作、职业技能大赛、职业资格鉴定等评价、评定方式。全面评价学生职业素质、基本理论知识、基本技能和职业核心能力。对在学习和应用上有创新的学生予以特别鼓励，培养发展学生的综合职业能力。</w:t>
      </w:r>
    </w:p>
    <w:p>
      <w:pPr>
        <w:adjustRightInd w:val="0"/>
        <w:spacing w:line="360" w:lineRule="auto"/>
        <w:ind w:firstLine="482" w:firstLineChars="200"/>
        <w:outlineLvl w:val="2"/>
        <w:rPr>
          <w:rFonts w:ascii="仿宋" w:hAnsi="仿宋" w:eastAsia="仿宋" w:cs="Times New Roman"/>
          <w:sz w:val="24"/>
          <w:szCs w:val="24"/>
        </w:rPr>
      </w:pPr>
      <w:r>
        <w:rPr>
          <w:rFonts w:hint="eastAsia" w:ascii="仿宋" w:hAnsi="仿宋" w:eastAsia="仿宋" w:cs="黑体"/>
          <w:b/>
          <w:bCs/>
          <w:kern w:val="0"/>
          <w:sz w:val="24"/>
          <w:szCs w:val="32"/>
        </w:rPr>
        <w:t>（六）质量管理</w:t>
      </w:r>
      <w:r>
        <w:rPr>
          <w:rFonts w:hint="eastAsia" w:ascii="仿宋" w:hAnsi="仿宋" w:eastAsia="仿宋" w:cs="Times New Roman"/>
          <w:sz w:val="24"/>
          <w:szCs w:val="24"/>
        </w:rPr>
        <w:t>。</w:t>
      </w:r>
    </w:p>
    <w:p>
      <w:pPr>
        <w:pStyle w:val="2"/>
        <w:spacing w:line="360" w:lineRule="auto"/>
        <w:ind w:firstLine="480" w:firstLineChars="200"/>
        <w:rPr>
          <w:rFonts w:ascii="仿宋" w:hAnsi="仿宋" w:eastAsia="仿宋" w:cs="宋体"/>
          <w:b w:val="0"/>
          <w:bCs w:val="0"/>
          <w:kern w:val="2"/>
          <w:sz w:val="24"/>
          <w:szCs w:val="24"/>
        </w:rPr>
      </w:pPr>
      <w:r>
        <w:rPr>
          <w:rFonts w:hint="eastAsia" w:ascii="仿宋" w:hAnsi="仿宋" w:eastAsia="仿宋" w:cs="宋体"/>
          <w:b w:val="0"/>
          <w:bCs w:val="0"/>
          <w:kern w:val="2"/>
          <w:sz w:val="24"/>
          <w:szCs w:val="24"/>
        </w:rPr>
        <w:t>本专业具有健全的专业建设与发展规划及其年度实施计划，有定期专业调研制度、教学质量监控制度、学籍管理制度、成绩考核制度、课程建设规范和督导制度、顶岗实习制度。有健全的专业人才培养方案、课程标准、学期教学进程计划及课表、课程教学大纲、实训、实习教学计划及大纲、使用教材目录等。教学文件应按照教育部相关文件的要求制定。建立基于工作过程的教学质量管理与监控体系，包括课堂教学质量保障体系、校内外实践教学过程质量监控体系、学生职业能力考核评价体系、毕业生质量评价和反馈体系等。</w:t>
      </w:r>
    </w:p>
    <w:p>
      <w:pPr>
        <w:spacing w:line="360" w:lineRule="auto"/>
        <w:outlineLvl w:val="1"/>
        <w:rPr>
          <w:rFonts w:ascii="仿宋" w:hAnsi="仿宋" w:eastAsia="仿宋" w:cs="Times New Roman"/>
          <w:b/>
          <w:sz w:val="28"/>
          <w:szCs w:val="28"/>
          <w:highlight w:val="yellow"/>
        </w:rPr>
      </w:pPr>
      <w:r>
        <w:rPr>
          <w:rFonts w:hint="eastAsia" w:ascii="仿宋" w:hAnsi="仿宋" w:eastAsia="仿宋" w:cs="Times New Roman"/>
          <w:b/>
          <w:sz w:val="28"/>
          <w:szCs w:val="28"/>
        </w:rPr>
        <w:t>九、毕业要求</w:t>
      </w:r>
    </w:p>
    <w:p>
      <w:pPr>
        <w:pStyle w:val="2"/>
        <w:spacing w:line="360" w:lineRule="auto"/>
        <w:ind w:firstLine="480" w:firstLineChars="200"/>
        <w:rPr>
          <w:rFonts w:ascii="仿宋" w:hAnsi="仿宋" w:eastAsia="仿宋" w:cs="宋体"/>
          <w:b w:val="0"/>
          <w:bCs w:val="0"/>
          <w:kern w:val="2"/>
          <w:sz w:val="24"/>
          <w:szCs w:val="24"/>
        </w:rPr>
      </w:pPr>
      <w:r>
        <w:rPr>
          <w:rFonts w:hint="eastAsia" w:ascii="仿宋" w:hAnsi="仿宋" w:eastAsia="仿宋" w:cs="宋体"/>
          <w:b w:val="0"/>
          <w:bCs w:val="0"/>
          <w:kern w:val="2"/>
          <w:sz w:val="24"/>
          <w:szCs w:val="24"/>
        </w:rPr>
        <w:t>本专业学生必须通过规定年限的学习，须修完本专业人才培养方案所规定的学时学分，完成规定的教学活动，毕业时应达到培养目标及培养规格中素质、知识和能力等方面要求，并能获得本专业相关的一个或多个职业资格证书及职业能力等级证书，有效支撑培养目标的达成。</w:t>
      </w:r>
    </w:p>
    <w:p>
      <w:pPr>
        <w:adjustRightInd w:val="0"/>
        <w:spacing w:line="360" w:lineRule="auto"/>
        <w:ind w:firstLine="482" w:firstLineChars="200"/>
        <w:outlineLvl w:val="2"/>
        <w:rPr>
          <w:rFonts w:ascii="仿宋" w:hAnsi="仿宋" w:eastAsia="仿宋" w:cs="黑体"/>
          <w:b/>
          <w:bCs/>
          <w:kern w:val="0"/>
          <w:sz w:val="24"/>
          <w:szCs w:val="32"/>
        </w:rPr>
      </w:pPr>
      <w:r>
        <w:rPr>
          <w:rFonts w:hint="eastAsia" w:ascii="仿宋" w:hAnsi="仿宋" w:eastAsia="仿宋" w:cs="黑体"/>
          <w:b/>
          <w:bCs/>
          <w:kern w:val="0"/>
          <w:sz w:val="24"/>
          <w:szCs w:val="32"/>
        </w:rPr>
        <w:t>（一）学分条件</w:t>
      </w:r>
    </w:p>
    <w:p>
      <w:pPr>
        <w:spacing w:line="360" w:lineRule="auto"/>
        <w:ind w:left="359" w:leftChars="171" w:firstLine="120" w:firstLineChars="50"/>
        <w:rPr>
          <w:rFonts w:ascii="仿宋" w:hAnsi="仿宋" w:eastAsia="仿宋" w:cs="微软雅黑"/>
          <w:sz w:val="24"/>
          <w:szCs w:val="21"/>
        </w:rPr>
      </w:pPr>
      <w:r>
        <w:rPr>
          <w:rFonts w:hint="eastAsia" w:ascii="仿宋" w:hAnsi="仿宋" w:eastAsia="仿宋" w:cs="微软雅黑"/>
          <w:sz w:val="24"/>
          <w:szCs w:val="21"/>
        </w:rPr>
        <w:t>学生完成规定年限的学习，修满</w:t>
      </w:r>
      <w:r>
        <w:rPr>
          <w:rFonts w:ascii="仿宋" w:hAnsi="仿宋" w:eastAsia="仿宋" w:cs="微软雅黑"/>
          <w:sz w:val="24"/>
          <w:szCs w:val="21"/>
        </w:rPr>
        <w:t>本</w:t>
      </w:r>
      <w:r>
        <w:rPr>
          <w:rFonts w:hint="eastAsia" w:ascii="仿宋" w:hAnsi="仿宋" w:eastAsia="仿宋" w:cs="微软雅黑"/>
          <w:sz w:val="24"/>
          <w:szCs w:val="21"/>
        </w:rPr>
        <w:t>专业人才培养方案所规定最低学分：</w:t>
      </w:r>
      <w:r>
        <w:rPr>
          <w:rFonts w:ascii="仿宋" w:hAnsi="仿宋" w:eastAsia="仿宋" w:cs="微软雅黑"/>
          <w:sz w:val="24"/>
          <w:szCs w:val="21"/>
        </w:rPr>
        <w:t>170</w:t>
      </w:r>
      <w:r>
        <w:rPr>
          <w:rFonts w:hint="eastAsia" w:ascii="仿宋" w:hAnsi="仿宋" w:eastAsia="仿宋" w:cs="微软雅黑"/>
          <w:sz w:val="24"/>
          <w:szCs w:val="21"/>
        </w:rPr>
        <w:t>学分，毕业时应达到培养规格的素质、知识和能力等方面要求。</w:t>
      </w:r>
    </w:p>
    <w:p>
      <w:pPr>
        <w:adjustRightInd w:val="0"/>
        <w:spacing w:line="360" w:lineRule="auto"/>
        <w:ind w:firstLine="482" w:firstLineChars="200"/>
        <w:outlineLvl w:val="2"/>
        <w:rPr>
          <w:rFonts w:ascii="仿宋" w:hAnsi="仿宋" w:eastAsia="仿宋" w:cs="黑体"/>
          <w:b/>
          <w:bCs/>
          <w:kern w:val="0"/>
          <w:sz w:val="24"/>
          <w:szCs w:val="32"/>
        </w:rPr>
      </w:pPr>
      <w:r>
        <w:rPr>
          <w:rFonts w:hint="eastAsia" w:ascii="仿宋" w:hAnsi="仿宋" w:eastAsia="仿宋" w:cs="黑体"/>
          <w:b/>
          <w:bCs/>
          <w:kern w:val="0"/>
          <w:sz w:val="24"/>
          <w:szCs w:val="32"/>
        </w:rPr>
        <w:t>（二）证书获得建议</w:t>
      </w:r>
    </w:p>
    <w:p>
      <w:pPr>
        <w:spacing w:line="360" w:lineRule="auto"/>
        <w:jc w:val="center"/>
        <w:rPr>
          <w:rFonts w:ascii="仿宋" w:hAnsi="仿宋" w:eastAsia="仿宋"/>
          <w:color w:val="000000"/>
          <w:sz w:val="24"/>
        </w:rPr>
      </w:pPr>
      <w:r>
        <w:rPr>
          <w:rFonts w:hint="eastAsia" w:ascii="仿宋" w:hAnsi="仿宋" w:eastAsia="仿宋" w:cs="微软雅黑"/>
          <w:szCs w:val="21"/>
        </w:rPr>
        <w:t>专业证书获得建议</w:t>
      </w:r>
    </w:p>
    <w:tbl>
      <w:tblPr>
        <w:tblStyle w:val="10"/>
        <w:tblW w:w="83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74"/>
        <w:gridCol w:w="2105"/>
        <w:gridCol w:w="2286"/>
        <w:gridCol w:w="1297"/>
        <w:gridCol w:w="850"/>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4" w:type="dxa"/>
            <w:vAlign w:val="center"/>
          </w:tcPr>
          <w:p>
            <w:pPr>
              <w:spacing w:line="360" w:lineRule="auto"/>
              <w:jc w:val="center"/>
              <w:rPr>
                <w:rFonts w:ascii="仿宋" w:hAnsi="仿宋" w:eastAsia="仿宋" w:cs="微软雅黑"/>
                <w:b/>
                <w:bCs/>
                <w:szCs w:val="21"/>
              </w:rPr>
            </w:pPr>
            <w:r>
              <w:rPr>
                <w:rFonts w:hint="eastAsia" w:ascii="仿宋" w:hAnsi="仿宋" w:eastAsia="仿宋" w:cs="微软雅黑"/>
                <w:b/>
                <w:bCs/>
                <w:szCs w:val="21"/>
              </w:rPr>
              <w:t>序号</w:t>
            </w:r>
          </w:p>
        </w:tc>
        <w:tc>
          <w:tcPr>
            <w:tcW w:w="2105" w:type="dxa"/>
            <w:vAlign w:val="center"/>
          </w:tcPr>
          <w:p>
            <w:pPr>
              <w:spacing w:line="360" w:lineRule="auto"/>
              <w:jc w:val="center"/>
              <w:rPr>
                <w:rFonts w:ascii="仿宋" w:hAnsi="仿宋" w:eastAsia="仿宋" w:cs="微软雅黑"/>
                <w:b/>
                <w:bCs/>
                <w:szCs w:val="21"/>
              </w:rPr>
            </w:pPr>
            <w:r>
              <w:rPr>
                <w:rFonts w:hint="eastAsia" w:ascii="仿宋" w:hAnsi="仿宋" w:eastAsia="仿宋" w:cs="微软雅黑"/>
                <w:b/>
                <w:bCs/>
                <w:szCs w:val="21"/>
              </w:rPr>
              <w:t>证书名称</w:t>
            </w:r>
          </w:p>
        </w:tc>
        <w:tc>
          <w:tcPr>
            <w:tcW w:w="2286" w:type="dxa"/>
            <w:vAlign w:val="center"/>
          </w:tcPr>
          <w:p>
            <w:pPr>
              <w:spacing w:line="360" w:lineRule="auto"/>
              <w:jc w:val="center"/>
              <w:rPr>
                <w:rFonts w:ascii="仿宋" w:hAnsi="仿宋" w:eastAsia="仿宋" w:cs="微软雅黑"/>
                <w:b/>
                <w:bCs/>
                <w:szCs w:val="21"/>
              </w:rPr>
            </w:pPr>
            <w:r>
              <w:rPr>
                <w:rFonts w:hint="eastAsia" w:ascii="仿宋" w:hAnsi="仿宋" w:eastAsia="仿宋" w:cs="微软雅黑"/>
                <w:b/>
                <w:bCs/>
                <w:szCs w:val="21"/>
              </w:rPr>
              <w:t>证书类型（职业资格证书/专业技能证书）</w:t>
            </w:r>
          </w:p>
        </w:tc>
        <w:tc>
          <w:tcPr>
            <w:tcW w:w="1297" w:type="dxa"/>
            <w:vAlign w:val="center"/>
          </w:tcPr>
          <w:p>
            <w:pPr>
              <w:spacing w:line="360" w:lineRule="auto"/>
              <w:jc w:val="center"/>
              <w:rPr>
                <w:rFonts w:ascii="仿宋" w:hAnsi="仿宋" w:eastAsia="仿宋" w:cs="微软雅黑"/>
                <w:b/>
                <w:bCs/>
                <w:szCs w:val="21"/>
              </w:rPr>
            </w:pPr>
            <w:r>
              <w:rPr>
                <w:rFonts w:hint="eastAsia" w:ascii="仿宋" w:hAnsi="仿宋" w:eastAsia="仿宋" w:cs="微软雅黑"/>
                <w:b/>
                <w:bCs/>
                <w:szCs w:val="21"/>
              </w:rPr>
              <w:t>颁证机构</w:t>
            </w:r>
          </w:p>
        </w:tc>
        <w:tc>
          <w:tcPr>
            <w:tcW w:w="850" w:type="dxa"/>
            <w:vAlign w:val="center"/>
          </w:tcPr>
          <w:p>
            <w:pPr>
              <w:spacing w:line="360" w:lineRule="auto"/>
              <w:jc w:val="center"/>
              <w:rPr>
                <w:rFonts w:ascii="仿宋" w:hAnsi="仿宋" w:eastAsia="仿宋" w:cs="微软雅黑"/>
                <w:b/>
                <w:bCs/>
                <w:szCs w:val="21"/>
              </w:rPr>
            </w:pPr>
            <w:r>
              <w:rPr>
                <w:rFonts w:hint="eastAsia" w:ascii="仿宋" w:hAnsi="仿宋" w:eastAsia="仿宋" w:cs="微软雅黑"/>
                <w:b/>
                <w:bCs/>
                <w:szCs w:val="21"/>
              </w:rPr>
              <w:t>等级</w:t>
            </w:r>
          </w:p>
        </w:tc>
        <w:tc>
          <w:tcPr>
            <w:tcW w:w="1418" w:type="dxa"/>
            <w:vAlign w:val="center"/>
          </w:tcPr>
          <w:p>
            <w:pPr>
              <w:spacing w:line="360" w:lineRule="auto"/>
              <w:jc w:val="center"/>
              <w:rPr>
                <w:rFonts w:ascii="仿宋" w:hAnsi="仿宋" w:eastAsia="仿宋" w:cs="微软雅黑"/>
                <w:b/>
                <w:bCs/>
                <w:szCs w:val="21"/>
              </w:rPr>
            </w:pPr>
            <w:r>
              <w:rPr>
                <w:rFonts w:hint="eastAsia" w:ascii="仿宋" w:hAnsi="仿宋" w:eastAsia="仿宋" w:cs="微软雅黑"/>
                <w:b/>
                <w:bCs/>
                <w:szCs w:val="21"/>
              </w:rPr>
              <w:t>获证建议（必考/建议获得）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3" w:hRule="atLeast"/>
        </w:trPr>
        <w:tc>
          <w:tcPr>
            <w:tcW w:w="374" w:type="dxa"/>
          </w:tcPr>
          <w:p>
            <w:pPr>
              <w:spacing w:line="360" w:lineRule="auto"/>
              <w:rPr>
                <w:rFonts w:ascii="仿宋" w:hAnsi="仿宋" w:eastAsia="仿宋" w:cs="微软雅黑"/>
                <w:szCs w:val="21"/>
              </w:rPr>
            </w:pPr>
            <w:r>
              <w:rPr>
                <w:rFonts w:hint="eastAsia" w:ascii="仿宋" w:hAnsi="仿宋" w:eastAsia="仿宋" w:cs="微软雅黑"/>
                <w:szCs w:val="21"/>
              </w:rPr>
              <w:t>1</w:t>
            </w:r>
          </w:p>
        </w:tc>
        <w:tc>
          <w:tcPr>
            <w:tcW w:w="2105" w:type="dxa"/>
          </w:tcPr>
          <w:p>
            <w:pPr>
              <w:spacing w:line="360" w:lineRule="auto"/>
              <w:jc w:val="center"/>
              <w:rPr>
                <w:rFonts w:ascii="仿宋" w:hAnsi="仿宋" w:eastAsia="仿宋" w:cs="微软雅黑"/>
                <w:szCs w:val="21"/>
              </w:rPr>
            </w:pPr>
            <w:r>
              <w:rPr>
                <w:rFonts w:hint="eastAsia" w:ascii="仿宋" w:hAnsi="仿宋" w:eastAsia="仿宋" w:cs="宋体"/>
                <w:kern w:val="0"/>
                <w:szCs w:val="21"/>
              </w:rPr>
              <w:t>美容师职业资格等级证书</w:t>
            </w:r>
          </w:p>
        </w:tc>
        <w:tc>
          <w:tcPr>
            <w:tcW w:w="2286" w:type="dxa"/>
          </w:tcPr>
          <w:p>
            <w:pPr>
              <w:spacing w:line="360" w:lineRule="auto"/>
              <w:jc w:val="center"/>
              <w:rPr>
                <w:rFonts w:ascii="仿宋" w:hAnsi="仿宋" w:eastAsia="仿宋" w:cs="宋体"/>
                <w:kern w:val="0"/>
                <w:szCs w:val="21"/>
              </w:rPr>
            </w:pPr>
            <w:r>
              <w:rPr>
                <w:rFonts w:hint="eastAsia" w:ascii="仿宋" w:hAnsi="仿宋" w:eastAsia="仿宋" w:cs="宋体"/>
                <w:kern w:val="0"/>
                <w:szCs w:val="21"/>
              </w:rPr>
              <w:t>职业资格证书</w:t>
            </w:r>
          </w:p>
        </w:tc>
        <w:tc>
          <w:tcPr>
            <w:tcW w:w="1297" w:type="dxa"/>
          </w:tcPr>
          <w:p>
            <w:pPr>
              <w:spacing w:line="360" w:lineRule="auto"/>
              <w:rPr>
                <w:rFonts w:ascii="仿宋" w:hAnsi="仿宋" w:eastAsia="仿宋" w:cs="微软雅黑"/>
                <w:szCs w:val="21"/>
              </w:rPr>
            </w:pPr>
            <w:r>
              <w:rPr>
                <w:rFonts w:hint="eastAsia" w:ascii="仿宋" w:hAnsi="仿宋" w:eastAsia="仿宋" w:cs="微软雅黑"/>
                <w:szCs w:val="21"/>
              </w:rPr>
              <w:t>中华人民共和国人力资源和社会保障部</w:t>
            </w:r>
          </w:p>
        </w:tc>
        <w:tc>
          <w:tcPr>
            <w:tcW w:w="850" w:type="dxa"/>
          </w:tcPr>
          <w:p>
            <w:pPr>
              <w:spacing w:line="360" w:lineRule="auto"/>
              <w:ind w:firstLine="210" w:firstLineChars="100"/>
              <w:rPr>
                <w:rFonts w:ascii="仿宋" w:hAnsi="仿宋" w:eastAsia="仿宋" w:cs="微软雅黑"/>
                <w:szCs w:val="21"/>
              </w:rPr>
            </w:pPr>
            <w:r>
              <w:rPr>
                <w:rFonts w:hint="eastAsia" w:ascii="仿宋" w:hAnsi="仿宋" w:eastAsia="仿宋" w:cs="微软雅黑"/>
                <w:szCs w:val="21"/>
              </w:rPr>
              <w:t>中级</w:t>
            </w:r>
          </w:p>
        </w:tc>
        <w:tc>
          <w:tcPr>
            <w:tcW w:w="1418" w:type="dxa"/>
          </w:tcPr>
          <w:p>
            <w:pPr>
              <w:spacing w:line="360" w:lineRule="auto"/>
              <w:jc w:val="center"/>
              <w:rPr>
                <w:rFonts w:ascii="仿宋" w:hAnsi="仿宋" w:eastAsia="仿宋" w:cs="宋体"/>
                <w:kern w:val="0"/>
                <w:szCs w:val="21"/>
              </w:rPr>
            </w:pPr>
            <w:r>
              <w:rPr>
                <w:rFonts w:hint="eastAsia" w:ascii="仿宋" w:hAnsi="仿宋" w:eastAsia="仿宋" w:cs="宋体"/>
                <w:kern w:val="0"/>
                <w:szCs w:val="21"/>
              </w:rPr>
              <w:t>必考</w:t>
            </w:r>
          </w:p>
        </w:tc>
      </w:tr>
    </w:tbl>
    <w:p>
      <w:pPr>
        <w:spacing w:line="360" w:lineRule="auto"/>
        <w:outlineLvl w:val="1"/>
        <w:rPr>
          <w:rFonts w:ascii="仿宋" w:hAnsi="仿宋" w:eastAsia="仿宋" w:cs="Times New Roman"/>
          <w:b/>
          <w:sz w:val="28"/>
          <w:szCs w:val="28"/>
        </w:rPr>
      </w:pPr>
      <w:r>
        <w:rPr>
          <w:rFonts w:hint="eastAsia" w:ascii="仿宋" w:hAnsi="仿宋" w:eastAsia="仿宋" w:cs="Times New Roman"/>
          <w:b/>
          <w:sz w:val="28"/>
          <w:szCs w:val="28"/>
        </w:rPr>
        <w:t>十、继续专业学习和深造建议</w:t>
      </w:r>
    </w:p>
    <w:p>
      <w:pPr>
        <w:spacing w:line="360" w:lineRule="auto"/>
        <w:ind w:left="359" w:leftChars="171" w:firstLine="120" w:firstLineChars="50"/>
        <w:rPr>
          <w:rFonts w:ascii="仿宋" w:hAnsi="仿宋" w:eastAsia="仿宋" w:cs="微软雅黑"/>
          <w:sz w:val="24"/>
          <w:szCs w:val="21"/>
        </w:rPr>
      </w:pPr>
      <w:r>
        <w:rPr>
          <w:rFonts w:hint="eastAsia" w:ascii="仿宋" w:hAnsi="仿宋" w:eastAsia="仿宋" w:cs="微软雅黑"/>
          <w:sz w:val="24"/>
          <w:szCs w:val="21"/>
        </w:rPr>
        <w:t>⑴ 毕业生可以参加全日制大学专科学历教育。</w:t>
      </w:r>
    </w:p>
    <w:p>
      <w:pPr>
        <w:spacing w:line="360" w:lineRule="auto"/>
        <w:ind w:left="359" w:leftChars="171" w:firstLine="120" w:firstLineChars="50"/>
        <w:rPr>
          <w:rFonts w:ascii="仿宋" w:hAnsi="仿宋" w:eastAsia="仿宋" w:cs="微软雅黑"/>
          <w:sz w:val="24"/>
          <w:szCs w:val="21"/>
        </w:rPr>
      </w:pPr>
      <w:r>
        <w:rPr>
          <w:rFonts w:hint="eastAsia" w:ascii="仿宋" w:hAnsi="仿宋" w:eastAsia="仿宋" w:cs="微软雅黑"/>
          <w:sz w:val="24"/>
          <w:szCs w:val="21"/>
        </w:rPr>
        <w:t>⑵ 毕业生可在职业技能资格证书提升方面参加行业组织的继续教育，提升专业水平。</w:t>
      </w:r>
    </w:p>
    <w:p>
      <w:pPr>
        <w:spacing w:line="360" w:lineRule="auto"/>
        <w:ind w:left="359" w:leftChars="171" w:firstLine="120" w:firstLineChars="50"/>
        <w:rPr>
          <w:rFonts w:ascii="仿宋" w:hAnsi="仿宋" w:eastAsia="仿宋" w:cs="微软雅黑"/>
          <w:sz w:val="24"/>
          <w:szCs w:val="21"/>
        </w:rPr>
      </w:pPr>
      <w:r>
        <w:rPr>
          <w:rFonts w:hint="eastAsia" w:ascii="仿宋" w:hAnsi="仿宋" w:eastAsia="仿宋" w:cs="微软雅黑"/>
          <w:sz w:val="24"/>
          <w:szCs w:val="21"/>
        </w:rPr>
        <w:t>⑶ 毕业生可在国际职业技能资格证书方面参加国际美容师、国际芳香疗法师等国际证书资格认证。</w:t>
      </w:r>
    </w:p>
    <w:p>
      <w:pPr>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63F6C"/>
    <w:multiLevelType w:val="multilevel"/>
    <w:tmpl w:val="13363F6C"/>
    <w:lvl w:ilvl="0" w:tentative="0">
      <w:start w:val="1"/>
      <w:numFmt w:val="japaneseCounting"/>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D67DE2"/>
    <w:multiLevelType w:val="multilevel"/>
    <w:tmpl w:val="2ED67DE2"/>
    <w:lvl w:ilvl="0" w:tentative="0">
      <w:start w:val="1"/>
      <w:numFmt w:val="japaneseCounting"/>
      <w:lvlText w:val="（%1）"/>
      <w:lvlJc w:val="left"/>
      <w:pPr>
        <w:ind w:left="1305" w:hanging="8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D5B3F90"/>
    <w:multiLevelType w:val="multilevel"/>
    <w:tmpl w:val="5D5B3F90"/>
    <w:lvl w:ilvl="0" w:tentative="0">
      <w:start w:val="1"/>
      <w:numFmt w:val="japaneseCounting"/>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B73160"/>
    <w:multiLevelType w:val="multilevel"/>
    <w:tmpl w:val="7DB73160"/>
    <w:lvl w:ilvl="0" w:tentative="0">
      <w:start w:val="1"/>
      <w:numFmt w:val="japaneseCounting"/>
      <w:lvlText w:val="（%1）"/>
      <w:lvlJc w:val="left"/>
      <w:pPr>
        <w:ind w:left="1139" w:hanging="85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98"/>
    <w:rsid w:val="00021C6E"/>
    <w:rsid w:val="000349AD"/>
    <w:rsid w:val="0004427D"/>
    <w:rsid w:val="00052B42"/>
    <w:rsid w:val="000D3BAA"/>
    <w:rsid w:val="000D45EE"/>
    <w:rsid w:val="00122873"/>
    <w:rsid w:val="00147F74"/>
    <w:rsid w:val="00153093"/>
    <w:rsid w:val="0016662C"/>
    <w:rsid w:val="00181D0D"/>
    <w:rsid w:val="00183B53"/>
    <w:rsid w:val="001B1449"/>
    <w:rsid w:val="001E3332"/>
    <w:rsid w:val="00217D24"/>
    <w:rsid w:val="00223A1D"/>
    <w:rsid w:val="002305DD"/>
    <w:rsid w:val="002737E3"/>
    <w:rsid w:val="00282071"/>
    <w:rsid w:val="002854F8"/>
    <w:rsid w:val="002B634A"/>
    <w:rsid w:val="002B7723"/>
    <w:rsid w:val="002D4710"/>
    <w:rsid w:val="00343DCB"/>
    <w:rsid w:val="00345436"/>
    <w:rsid w:val="003608B3"/>
    <w:rsid w:val="003662E7"/>
    <w:rsid w:val="00376498"/>
    <w:rsid w:val="003B47DC"/>
    <w:rsid w:val="00404FD2"/>
    <w:rsid w:val="0044155C"/>
    <w:rsid w:val="00460DB4"/>
    <w:rsid w:val="004765B1"/>
    <w:rsid w:val="004C3F62"/>
    <w:rsid w:val="004C505A"/>
    <w:rsid w:val="004C545A"/>
    <w:rsid w:val="004E62E8"/>
    <w:rsid w:val="005331C6"/>
    <w:rsid w:val="00542038"/>
    <w:rsid w:val="005513B9"/>
    <w:rsid w:val="005C4345"/>
    <w:rsid w:val="005D453F"/>
    <w:rsid w:val="00611FC2"/>
    <w:rsid w:val="0068537C"/>
    <w:rsid w:val="00697A51"/>
    <w:rsid w:val="006B0F20"/>
    <w:rsid w:val="006B1FED"/>
    <w:rsid w:val="006C2840"/>
    <w:rsid w:val="006C2FC9"/>
    <w:rsid w:val="007577A0"/>
    <w:rsid w:val="00775C34"/>
    <w:rsid w:val="007B0228"/>
    <w:rsid w:val="007B033B"/>
    <w:rsid w:val="007B757A"/>
    <w:rsid w:val="0085535B"/>
    <w:rsid w:val="00881293"/>
    <w:rsid w:val="008B5A90"/>
    <w:rsid w:val="008C2FAE"/>
    <w:rsid w:val="008C6F7B"/>
    <w:rsid w:val="0090253B"/>
    <w:rsid w:val="00902684"/>
    <w:rsid w:val="00932FD6"/>
    <w:rsid w:val="00976C51"/>
    <w:rsid w:val="00986F66"/>
    <w:rsid w:val="009B4632"/>
    <w:rsid w:val="009B684C"/>
    <w:rsid w:val="009D1EDE"/>
    <w:rsid w:val="00A1199A"/>
    <w:rsid w:val="00A3502B"/>
    <w:rsid w:val="00A43EED"/>
    <w:rsid w:val="00A456EA"/>
    <w:rsid w:val="00A60B57"/>
    <w:rsid w:val="00AA3B0A"/>
    <w:rsid w:val="00AE105B"/>
    <w:rsid w:val="00AE7CED"/>
    <w:rsid w:val="00B1403D"/>
    <w:rsid w:val="00B355BA"/>
    <w:rsid w:val="00B64A30"/>
    <w:rsid w:val="00B7262B"/>
    <w:rsid w:val="00B83728"/>
    <w:rsid w:val="00BB4893"/>
    <w:rsid w:val="00BD113B"/>
    <w:rsid w:val="00BD7022"/>
    <w:rsid w:val="00BE4958"/>
    <w:rsid w:val="00C2262D"/>
    <w:rsid w:val="00C238B0"/>
    <w:rsid w:val="00C65E11"/>
    <w:rsid w:val="00C9270A"/>
    <w:rsid w:val="00CC647A"/>
    <w:rsid w:val="00CF046B"/>
    <w:rsid w:val="00D76FC5"/>
    <w:rsid w:val="00DC1825"/>
    <w:rsid w:val="00E40BDA"/>
    <w:rsid w:val="00ED0B6D"/>
    <w:rsid w:val="00F07459"/>
    <w:rsid w:val="00F11638"/>
    <w:rsid w:val="00F22DA7"/>
    <w:rsid w:val="00F7471C"/>
    <w:rsid w:val="00F776F3"/>
    <w:rsid w:val="00F97806"/>
    <w:rsid w:val="00FB36EC"/>
    <w:rsid w:val="24E4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itle"/>
    <w:basedOn w:val="1"/>
    <w:next w:val="1"/>
    <w:link w:val="18"/>
    <w:qFormat/>
    <w:uiPriority w:val="0"/>
    <w:pPr>
      <w:spacing w:before="240" w:after="60"/>
      <w:jc w:val="center"/>
      <w:outlineLvl w:val="0"/>
    </w:pPr>
    <w:rPr>
      <w:rFonts w:ascii="Cambria" w:hAnsi="Cambria" w:eastAsia="宋体"/>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uiPriority w:val="99"/>
    <w:rPr>
      <w:sz w:val="18"/>
      <w:szCs w:val="18"/>
    </w:rPr>
  </w:style>
  <w:style w:type="character" w:customStyle="1" w:styleId="14">
    <w:name w:val="页脚 字符"/>
    <w:basedOn w:val="11"/>
    <w:link w:val="5"/>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字符"/>
    <w:basedOn w:val="11"/>
    <w:link w:val="3"/>
    <w:semiHidden/>
    <w:uiPriority w:val="99"/>
  </w:style>
  <w:style w:type="character" w:customStyle="1" w:styleId="17">
    <w:name w:val="批注框文本 字符"/>
    <w:basedOn w:val="11"/>
    <w:link w:val="4"/>
    <w:semiHidden/>
    <w:uiPriority w:val="99"/>
    <w:rPr>
      <w:sz w:val="18"/>
      <w:szCs w:val="18"/>
    </w:rPr>
  </w:style>
  <w:style w:type="character" w:customStyle="1" w:styleId="18">
    <w:name w:val="标题 字符"/>
    <w:basedOn w:val="11"/>
    <w:link w:val="8"/>
    <w:uiPriority w:val="0"/>
    <w:rPr>
      <w:rFonts w:ascii="Cambria" w:hAnsi="Cambria" w:eastAsia="宋体"/>
      <w:b/>
      <w:bCs/>
      <w:sz w:val="32"/>
      <w:szCs w:val="32"/>
    </w:rPr>
  </w:style>
  <w:style w:type="character" w:customStyle="1" w:styleId="19">
    <w:name w:val="标题 1 字符"/>
    <w:basedOn w:val="11"/>
    <w:link w:val="2"/>
    <w:uiPriority w:val="9"/>
    <w:rPr>
      <w:b/>
      <w:bCs/>
      <w:kern w:val="44"/>
      <w:sz w:val="44"/>
      <w:szCs w:val="44"/>
    </w:rPr>
  </w:style>
  <w:style w:type="paragraph" w:customStyle="1" w:styleId="2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3E5C9-E5C7-40E6-9B1B-D9F5D750EABB}">
  <ds:schemaRefs/>
</ds:datastoreItem>
</file>

<file path=docProps/app.xml><?xml version="1.0" encoding="utf-8"?>
<Properties xmlns="http://schemas.openxmlformats.org/officeDocument/2006/extended-properties" xmlns:vt="http://schemas.openxmlformats.org/officeDocument/2006/docPropsVTypes">
  <Template>Normal</Template>
  <Pages>16</Pages>
  <Words>1517</Words>
  <Characters>8649</Characters>
  <Lines>72</Lines>
  <Paragraphs>20</Paragraphs>
  <TotalTime>20</TotalTime>
  <ScaleCrop>false</ScaleCrop>
  <LinksUpToDate>false</LinksUpToDate>
  <CharactersWithSpaces>10146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2021-05-16T05:04:00Z</dcterms:created>
  <dc:creator>apple</dc:creator>
  <cp:lastModifiedBy>吉吉</cp:lastModifiedBy>
  <dcterms:modified xsi:type="dcterms:W3CDTF">2021-05-17T12:27:07Z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70248F760E9B4BF4A8E977F5F0D49342</vt:lpwstr>
  </property>
</Properties>
</file>